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E064" w14:textId="77777777" w:rsidR="0036552D" w:rsidRPr="00A351AB" w:rsidRDefault="0036552D">
      <w:pPr>
        <w:rPr>
          <w:lang w:val="en-GB"/>
        </w:rPr>
      </w:pPr>
    </w:p>
    <w:p w14:paraId="217E93F9" w14:textId="585F7EE8" w:rsidR="0036552D" w:rsidRPr="00A351AB" w:rsidRDefault="0036552D" w:rsidP="0036552D">
      <w:pPr>
        <w:spacing w:after="0" w:line="240" w:lineRule="auto"/>
        <w:jc w:val="center"/>
        <w:rPr>
          <w:rFonts w:ascii="Arial" w:hAnsi="Arial" w:cs="Arial"/>
          <w:u w:val="single"/>
          <w:lang w:val="en-GB"/>
        </w:rPr>
      </w:pPr>
      <w:r w:rsidRPr="00A351AB">
        <w:rPr>
          <w:rFonts w:ascii="Arial" w:hAnsi="Arial" w:cs="Arial"/>
          <w:u w:val="single"/>
          <w:lang w:val="en-GB"/>
        </w:rPr>
        <w:t>CJEU</w:t>
      </w:r>
      <w:r w:rsidR="00624CAA" w:rsidRPr="00A351AB">
        <w:rPr>
          <w:rFonts w:ascii="Arial" w:hAnsi="Arial" w:cs="Arial"/>
          <w:u w:val="single"/>
          <w:lang w:val="en-GB"/>
        </w:rPr>
        <w:t xml:space="preserve"> says</w:t>
      </w:r>
      <w:r w:rsidRPr="00A351AB">
        <w:rPr>
          <w:rFonts w:ascii="Arial" w:hAnsi="Arial" w:cs="Arial"/>
          <w:u w:val="single"/>
          <w:lang w:val="en-GB"/>
        </w:rPr>
        <w:t xml:space="preserve"> EAW mutual trust </w:t>
      </w:r>
      <w:r w:rsidR="00624CAA" w:rsidRPr="00A351AB">
        <w:rPr>
          <w:rFonts w:ascii="Arial" w:hAnsi="Arial" w:cs="Arial"/>
          <w:u w:val="single"/>
          <w:lang w:val="en-GB"/>
        </w:rPr>
        <w:t>and mutual recognition doesn’t</w:t>
      </w:r>
      <w:r w:rsidRPr="00A351AB">
        <w:rPr>
          <w:rFonts w:ascii="Arial" w:hAnsi="Arial" w:cs="Arial"/>
          <w:u w:val="single"/>
          <w:lang w:val="en-GB"/>
        </w:rPr>
        <w:t xml:space="preserve"> apply to the UK</w:t>
      </w:r>
      <w:r w:rsidR="007300F0" w:rsidRPr="00A351AB">
        <w:rPr>
          <w:rFonts w:ascii="Arial" w:hAnsi="Arial" w:cs="Arial"/>
          <w:u w:val="single"/>
          <w:lang w:val="en-GB"/>
        </w:rPr>
        <w:t xml:space="preserve"> anymore</w:t>
      </w:r>
    </w:p>
    <w:p w14:paraId="5A44A705" w14:textId="2A45BBA2" w:rsidR="0036552D" w:rsidRPr="00A351AB" w:rsidRDefault="0036552D" w:rsidP="0036552D">
      <w:pPr>
        <w:spacing w:after="0" w:line="240" w:lineRule="auto"/>
        <w:jc w:val="center"/>
        <w:rPr>
          <w:rFonts w:ascii="Arial" w:hAnsi="Arial" w:cs="Arial"/>
          <w:i/>
          <w:iCs/>
          <w:lang w:val="en-GB"/>
        </w:rPr>
      </w:pPr>
      <w:r w:rsidRPr="00A351AB">
        <w:rPr>
          <w:rFonts w:ascii="Arial" w:hAnsi="Arial" w:cs="Arial"/>
          <w:i/>
          <w:iCs/>
          <w:lang w:val="en-GB"/>
        </w:rPr>
        <w:t>Stefan Hyman, Barrister, 9BR Chambers</w:t>
      </w:r>
    </w:p>
    <w:p w14:paraId="3176B4DC" w14:textId="77777777" w:rsidR="0036552D" w:rsidRPr="00A351AB" w:rsidRDefault="0036552D" w:rsidP="0036552D">
      <w:pPr>
        <w:spacing w:after="0" w:line="240" w:lineRule="auto"/>
        <w:jc w:val="center"/>
        <w:rPr>
          <w:rFonts w:ascii="Arial" w:hAnsi="Arial" w:cs="Arial"/>
          <w:lang w:val="en-GB"/>
        </w:rPr>
      </w:pPr>
    </w:p>
    <w:p w14:paraId="50445886" w14:textId="05466D18" w:rsidR="0077085D" w:rsidRPr="0077085D" w:rsidRDefault="0077085D" w:rsidP="0036552D">
      <w:pPr>
        <w:spacing w:after="0" w:line="240" w:lineRule="auto"/>
        <w:jc w:val="both"/>
        <w:rPr>
          <w:rFonts w:ascii="Arial" w:hAnsi="Arial" w:cs="Arial"/>
          <w:b/>
          <w:bCs/>
          <w:lang w:val="en-GB"/>
        </w:rPr>
      </w:pPr>
      <w:r>
        <w:rPr>
          <w:rFonts w:ascii="Arial" w:hAnsi="Arial" w:cs="Arial"/>
          <w:b/>
          <w:bCs/>
          <w:lang w:val="en-GB"/>
        </w:rPr>
        <w:t>Introduction</w:t>
      </w:r>
    </w:p>
    <w:p w14:paraId="35C19F0E" w14:textId="1E46BC36" w:rsidR="005B42B4" w:rsidRPr="00A351AB" w:rsidRDefault="007300F0" w:rsidP="0036552D">
      <w:pPr>
        <w:spacing w:after="0" w:line="240" w:lineRule="auto"/>
        <w:jc w:val="both"/>
        <w:rPr>
          <w:rFonts w:ascii="Arial" w:hAnsi="Arial" w:cs="Arial"/>
          <w:lang w:val="en-GB"/>
        </w:rPr>
      </w:pPr>
      <w:r w:rsidRPr="00A351AB">
        <w:rPr>
          <w:rFonts w:ascii="Arial" w:hAnsi="Arial" w:cs="Arial"/>
          <w:lang w:val="en-GB"/>
        </w:rPr>
        <w:t>Earlier this week, the</w:t>
      </w:r>
      <w:r w:rsidR="00D16E7A" w:rsidRPr="00A351AB">
        <w:rPr>
          <w:rFonts w:ascii="Arial" w:hAnsi="Arial" w:cs="Arial"/>
          <w:lang w:val="en-GB"/>
        </w:rPr>
        <w:t xml:space="preserve"> Grand Chamber handed down judgment in </w:t>
      </w:r>
      <w:hyperlink r:id="rId7" w:history="1">
        <w:proofErr w:type="spellStart"/>
        <w:r w:rsidR="00D16E7A" w:rsidRPr="00A351AB">
          <w:rPr>
            <w:rStyle w:val="Hipervnculo"/>
            <w:rFonts w:ascii="Arial" w:hAnsi="Arial" w:cs="Arial"/>
            <w:b/>
            <w:bCs/>
            <w:i/>
            <w:iCs/>
            <w:lang w:val="en-GB"/>
          </w:rPr>
          <w:t>Alchaster</w:t>
        </w:r>
        <w:proofErr w:type="spellEnd"/>
        <w:r w:rsidR="00D16E7A" w:rsidRPr="00A351AB">
          <w:rPr>
            <w:rStyle w:val="Hipervnculo"/>
            <w:rFonts w:ascii="Arial" w:hAnsi="Arial" w:cs="Arial"/>
            <w:b/>
            <w:bCs/>
            <w:i/>
            <w:iCs/>
            <w:lang w:val="en-GB"/>
          </w:rPr>
          <w:t xml:space="preserve"> </w:t>
        </w:r>
        <w:r w:rsidR="00D16E7A" w:rsidRPr="00A351AB">
          <w:rPr>
            <w:rStyle w:val="Hipervnculo"/>
            <w:rFonts w:ascii="Arial" w:hAnsi="Arial" w:cs="Arial"/>
            <w:lang w:val="en-GB"/>
          </w:rPr>
          <w:t>(C-202/24; ECLI:EU:C:2024:649</w:t>
        </w:r>
      </w:hyperlink>
      <w:r w:rsidR="003901F9" w:rsidRPr="00A351AB">
        <w:rPr>
          <w:rFonts w:ascii="Arial" w:hAnsi="Arial" w:cs="Arial"/>
          <w:lang w:val="en-GB"/>
        </w:rPr>
        <w:t>)</w:t>
      </w:r>
      <w:r w:rsidR="00D16E7A" w:rsidRPr="00A351AB">
        <w:rPr>
          <w:rFonts w:ascii="Arial" w:hAnsi="Arial" w:cs="Arial"/>
          <w:lang w:val="en-GB"/>
        </w:rPr>
        <w:t xml:space="preserve"> </w:t>
      </w:r>
      <w:r w:rsidRPr="00A351AB">
        <w:rPr>
          <w:rFonts w:ascii="Arial" w:hAnsi="Arial" w:cs="Arial"/>
          <w:lang w:val="en-GB"/>
        </w:rPr>
        <w:t>concerning</w:t>
      </w:r>
      <w:r w:rsidR="00D16E7A" w:rsidRPr="00A351AB">
        <w:rPr>
          <w:rFonts w:ascii="Arial" w:hAnsi="Arial" w:cs="Arial"/>
          <w:lang w:val="en-GB"/>
        </w:rPr>
        <w:t xml:space="preserve"> surrender from EU Member States to the UK under </w:t>
      </w:r>
      <w:hyperlink r:id="rId8" w:history="1">
        <w:r w:rsidR="00D16E7A" w:rsidRPr="00A351AB">
          <w:rPr>
            <w:rStyle w:val="Hipervnculo"/>
            <w:rFonts w:ascii="Arial" w:hAnsi="Arial" w:cs="Arial"/>
            <w:lang w:val="en-GB"/>
          </w:rPr>
          <w:t>the Trade and Cooperation Agreement 2020</w:t>
        </w:r>
      </w:hyperlink>
      <w:r w:rsidR="00D16E7A" w:rsidRPr="00A351AB">
        <w:rPr>
          <w:rFonts w:ascii="Arial" w:hAnsi="Arial" w:cs="Arial"/>
          <w:lang w:val="en-GB"/>
        </w:rPr>
        <w:t xml:space="preserve"> (“TCA”)</w:t>
      </w:r>
      <w:r w:rsidR="0077085D">
        <w:rPr>
          <w:rFonts w:ascii="Arial" w:hAnsi="Arial" w:cs="Arial"/>
          <w:lang w:val="en-GB"/>
        </w:rPr>
        <w:t>,</w:t>
      </w:r>
      <w:r w:rsidR="00D16E7A" w:rsidRPr="00A351AB">
        <w:rPr>
          <w:rFonts w:ascii="Arial" w:hAnsi="Arial" w:cs="Arial"/>
          <w:lang w:val="en-GB"/>
        </w:rPr>
        <w:t xml:space="preserve"> </w:t>
      </w:r>
      <w:r w:rsidR="0077085D">
        <w:rPr>
          <w:rFonts w:ascii="Arial" w:hAnsi="Arial" w:cs="Arial"/>
          <w:lang w:val="en-GB"/>
        </w:rPr>
        <w:t>its</w:t>
      </w:r>
      <w:r w:rsidR="0077085D" w:rsidRPr="00A351AB">
        <w:rPr>
          <w:rFonts w:ascii="Arial" w:hAnsi="Arial" w:cs="Arial"/>
          <w:lang w:val="en-GB"/>
        </w:rPr>
        <w:t xml:space="preserve"> </w:t>
      </w:r>
      <w:r w:rsidRPr="00A351AB">
        <w:rPr>
          <w:rFonts w:ascii="Arial" w:hAnsi="Arial" w:cs="Arial"/>
          <w:lang w:val="en-GB"/>
        </w:rPr>
        <w:t xml:space="preserve">first substantive </w:t>
      </w:r>
      <w:r w:rsidR="0077085D">
        <w:rPr>
          <w:rFonts w:ascii="Arial" w:hAnsi="Arial" w:cs="Arial"/>
          <w:lang w:val="en-GB"/>
        </w:rPr>
        <w:t>decision</w:t>
      </w:r>
      <w:r w:rsidR="0077085D">
        <w:rPr>
          <w:rFonts w:ascii="Arial" w:hAnsi="Arial" w:cs="Arial"/>
          <w:lang w:val="en-GB"/>
        </w:rPr>
        <w:t xml:space="preserve"> </w:t>
      </w:r>
      <w:r w:rsidR="0077085D">
        <w:rPr>
          <w:rFonts w:ascii="Arial" w:hAnsi="Arial" w:cs="Arial"/>
          <w:lang w:val="en-GB"/>
        </w:rPr>
        <w:t>on</w:t>
      </w:r>
      <w:r w:rsidR="0077085D" w:rsidRPr="00A351AB">
        <w:rPr>
          <w:rFonts w:ascii="Arial" w:hAnsi="Arial" w:cs="Arial"/>
          <w:lang w:val="en-GB"/>
        </w:rPr>
        <w:t xml:space="preserve"> </w:t>
      </w:r>
      <w:r w:rsidR="00C457A9">
        <w:rPr>
          <w:rFonts w:ascii="Arial" w:hAnsi="Arial" w:cs="Arial"/>
          <w:lang w:val="en-GB"/>
        </w:rPr>
        <w:t xml:space="preserve">UK </w:t>
      </w:r>
      <w:r w:rsidRPr="00A351AB">
        <w:rPr>
          <w:rFonts w:ascii="Arial" w:hAnsi="Arial" w:cs="Arial"/>
          <w:lang w:val="en-GB"/>
        </w:rPr>
        <w:t xml:space="preserve">surrender post-Brexit. In early March, the Irish Supreme Court (“IESC”) referred various questions in </w:t>
      </w:r>
      <w:hyperlink r:id="rId9" w:history="1">
        <w:r w:rsidRPr="00A351AB">
          <w:rPr>
            <w:rStyle w:val="Hipervnculo"/>
            <w:rFonts w:ascii="Arial" w:hAnsi="Arial" w:cs="Arial"/>
            <w:b/>
            <w:bCs/>
            <w:i/>
            <w:iCs/>
            <w:lang w:val="en-GB"/>
          </w:rPr>
          <w:t>Minister of Justice &amp; Equality v Seán Walsh</w:t>
        </w:r>
        <w:r w:rsidRPr="00A351AB">
          <w:rPr>
            <w:rStyle w:val="Hipervnculo"/>
            <w:rFonts w:ascii="Arial" w:hAnsi="Arial" w:cs="Arial"/>
            <w:lang w:val="en-GB"/>
          </w:rPr>
          <w:t xml:space="preserve"> [2024] IESC 9</w:t>
        </w:r>
      </w:hyperlink>
      <w:r w:rsidRPr="00A351AB">
        <w:rPr>
          <w:rFonts w:ascii="Arial" w:hAnsi="Arial" w:cs="Arial"/>
          <w:lang w:val="en-GB"/>
        </w:rPr>
        <w:t xml:space="preserve">. </w:t>
      </w:r>
      <w:r w:rsidR="00AB28B5" w:rsidRPr="00A351AB">
        <w:rPr>
          <w:rFonts w:ascii="Arial" w:hAnsi="Arial" w:cs="Arial"/>
          <w:lang w:val="en-GB"/>
        </w:rPr>
        <w:t xml:space="preserve">Although </w:t>
      </w:r>
      <w:r w:rsidRPr="00A351AB">
        <w:rPr>
          <w:rFonts w:ascii="Arial" w:hAnsi="Arial" w:cs="Arial"/>
          <w:lang w:val="en-GB"/>
        </w:rPr>
        <w:t>these</w:t>
      </w:r>
      <w:r w:rsidR="00AB28B5" w:rsidRPr="00A351AB">
        <w:rPr>
          <w:rFonts w:ascii="Arial" w:hAnsi="Arial" w:cs="Arial"/>
          <w:lang w:val="en-GB"/>
        </w:rPr>
        <w:t xml:space="preserve"> </w:t>
      </w:r>
      <w:r w:rsidR="0085105D">
        <w:rPr>
          <w:rFonts w:ascii="Arial" w:hAnsi="Arial" w:cs="Arial"/>
          <w:lang w:val="en-GB"/>
        </w:rPr>
        <w:t>relate</w:t>
      </w:r>
      <w:r w:rsidRPr="00A351AB">
        <w:rPr>
          <w:rFonts w:ascii="Arial" w:hAnsi="Arial" w:cs="Arial"/>
          <w:lang w:val="en-GB"/>
        </w:rPr>
        <w:t xml:space="preserve"> </w:t>
      </w:r>
      <w:r w:rsidR="00DB3006">
        <w:rPr>
          <w:rFonts w:ascii="Arial" w:hAnsi="Arial" w:cs="Arial"/>
          <w:lang w:val="en-GB"/>
        </w:rPr>
        <w:t xml:space="preserve">to </w:t>
      </w:r>
      <w:r w:rsidRPr="00A351AB">
        <w:rPr>
          <w:rFonts w:ascii="Arial" w:hAnsi="Arial" w:cs="Arial"/>
          <w:lang w:val="en-GB"/>
        </w:rPr>
        <w:t>the</w:t>
      </w:r>
      <w:r w:rsidR="00AB28B5" w:rsidRPr="00A351AB">
        <w:rPr>
          <w:rFonts w:ascii="Arial" w:hAnsi="Arial" w:cs="Arial"/>
          <w:lang w:val="en-GB"/>
        </w:rPr>
        <w:t xml:space="preserve"> </w:t>
      </w:r>
      <w:proofErr w:type="spellStart"/>
      <w:r w:rsidR="00AB28B5" w:rsidRPr="00A351AB">
        <w:rPr>
          <w:rFonts w:ascii="Arial" w:hAnsi="Arial" w:cs="Arial"/>
          <w:i/>
          <w:iCs/>
          <w:lang w:val="en-GB"/>
        </w:rPr>
        <w:t>nulla</w:t>
      </w:r>
      <w:proofErr w:type="spellEnd"/>
      <w:r w:rsidR="00AB28B5" w:rsidRPr="00A351AB">
        <w:rPr>
          <w:rFonts w:ascii="Arial" w:hAnsi="Arial" w:cs="Arial"/>
          <w:i/>
          <w:iCs/>
          <w:lang w:val="en-GB"/>
        </w:rPr>
        <w:t xml:space="preserve"> </w:t>
      </w:r>
      <w:proofErr w:type="spellStart"/>
      <w:r w:rsidR="00AB28B5" w:rsidRPr="00A351AB">
        <w:rPr>
          <w:rFonts w:ascii="Arial" w:hAnsi="Arial" w:cs="Arial"/>
          <w:i/>
          <w:iCs/>
          <w:lang w:val="en-GB"/>
        </w:rPr>
        <w:t>poena</w:t>
      </w:r>
      <w:proofErr w:type="spellEnd"/>
      <w:r w:rsidR="00AB28B5" w:rsidRPr="00A351AB">
        <w:rPr>
          <w:rFonts w:ascii="Arial" w:hAnsi="Arial" w:cs="Arial"/>
          <w:i/>
          <w:iCs/>
          <w:lang w:val="en-GB"/>
        </w:rPr>
        <w:t xml:space="preserve"> sine </w:t>
      </w:r>
      <w:proofErr w:type="spellStart"/>
      <w:r w:rsidR="00AB28B5" w:rsidRPr="00A351AB">
        <w:rPr>
          <w:rFonts w:ascii="Arial" w:hAnsi="Arial" w:cs="Arial"/>
          <w:i/>
          <w:iCs/>
          <w:lang w:val="en-GB"/>
        </w:rPr>
        <w:t>lege</w:t>
      </w:r>
      <w:proofErr w:type="spellEnd"/>
      <w:r w:rsidR="00AB28B5" w:rsidRPr="00A351AB">
        <w:rPr>
          <w:rFonts w:ascii="Arial" w:hAnsi="Arial" w:cs="Arial"/>
          <w:lang w:val="en-GB"/>
        </w:rPr>
        <w:t xml:space="preserve"> </w:t>
      </w:r>
      <w:r w:rsidRPr="00A351AB">
        <w:rPr>
          <w:rFonts w:ascii="Arial" w:hAnsi="Arial" w:cs="Arial"/>
          <w:lang w:val="en-GB"/>
        </w:rPr>
        <w:t xml:space="preserve">principle enshrined in </w:t>
      </w:r>
      <w:hyperlink r:id="rId10" w:history="1">
        <w:r w:rsidR="00AB28B5" w:rsidRPr="00A351AB">
          <w:rPr>
            <w:rStyle w:val="Hipervnculo"/>
            <w:rFonts w:ascii="Arial" w:hAnsi="Arial" w:cs="Arial"/>
            <w:lang w:val="en-GB"/>
          </w:rPr>
          <w:t>Article 7 ECHR</w:t>
        </w:r>
      </w:hyperlink>
      <w:r w:rsidRPr="00A351AB">
        <w:rPr>
          <w:rFonts w:ascii="Arial" w:hAnsi="Arial" w:cs="Arial"/>
          <w:lang w:val="en-GB"/>
        </w:rPr>
        <w:t xml:space="preserve">, and reflected in EU law through </w:t>
      </w:r>
      <w:hyperlink r:id="rId11" w:history="1">
        <w:r w:rsidR="00AB28B5" w:rsidRPr="00A351AB">
          <w:rPr>
            <w:rStyle w:val="Hipervnculo"/>
            <w:rFonts w:ascii="Arial" w:hAnsi="Arial" w:cs="Arial"/>
            <w:lang w:val="en-GB"/>
          </w:rPr>
          <w:t>Article 49 of the EU Charter of Fundamental Rights</w:t>
        </w:r>
      </w:hyperlink>
      <w:r w:rsidR="003901F9" w:rsidRPr="00A351AB">
        <w:rPr>
          <w:rFonts w:ascii="Arial" w:hAnsi="Arial" w:cs="Arial"/>
          <w:lang w:val="en-GB"/>
        </w:rPr>
        <w:t xml:space="preserve"> (“the Charter”)</w:t>
      </w:r>
      <w:r w:rsidR="005B42B4" w:rsidRPr="00A351AB">
        <w:rPr>
          <w:rFonts w:ascii="Arial" w:hAnsi="Arial" w:cs="Arial"/>
          <w:lang w:val="en-GB"/>
        </w:rPr>
        <w:t xml:space="preserve">, </w:t>
      </w:r>
      <w:r w:rsidRPr="00A351AB">
        <w:rPr>
          <w:rFonts w:ascii="Arial" w:hAnsi="Arial" w:cs="Arial"/>
          <w:lang w:val="en-GB"/>
        </w:rPr>
        <w:t xml:space="preserve">the CJEU’s </w:t>
      </w:r>
      <w:r w:rsidR="0085105D">
        <w:rPr>
          <w:rFonts w:ascii="Arial" w:hAnsi="Arial" w:cs="Arial"/>
          <w:lang w:val="en-GB"/>
        </w:rPr>
        <w:t>judgment</w:t>
      </w:r>
      <w:r w:rsidRPr="00A351AB">
        <w:rPr>
          <w:rFonts w:ascii="Arial" w:hAnsi="Arial" w:cs="Arial"/>
          <w:lang w:val="en-GB"/>
        </w:rPr>
        <w:t xml:space="preserve"> set</w:t>
      </w:r>
      <w:r w:rsidR="0085105D">
        <w:rPr>
          <w:rFonts w:ascii="Arial" w:hAnsi="Arial" w:cs="Arial"/>
          <w:lang w:val="en-GB"/>
        </w:rPr>
        <w:t>s</w:t>
      </w:r>
      <w:r w:rsidRPr="00A351AB">
        <w:rPr>
          <w:rFonts w:ascii="Arial" w:hAnsi="Arial" w:cs="Arial"/>
          <w:lang w:val="en-GB"/>
        </w:rPr>
        <w:t xml:space="preserve"> the</w:t>
      </w:r>
      <w:r w:rsidR="0085105D">
        <w:rPr>
          <w:rFonts w:ascii="Arial" w:hAnsi="Arial" w:cs="Arial"/>
          <w:lang w:val="en-GB"/>
        </w:rPr>
        <w:t xml:space="preserve"> “mood music”</w:t>
      </w:r>
      <w:r w:rsidRPr="00A351AB">
        <w:rPr>
          <w:rFonts w:ascii="Arial" w:hAnsi="Arial" w:cs="Arial"/>
          <w:lang w:val="en-GB"/>
        </w:rPr>
        <w:t xml:space="preserve"> for EU executing judicial authorities when </w:t>
      </w:r>
      <w:r w:rsidR="00C457A9">
        <w:rPr>
          <w:rFonts w:ascii="Arial" w:hAnsi="Arial" w:cs="Arial"/>
          <w:lang w:val="en-GB"/>
        </w:rPr>
        <w:t>deciding if</w:t>
      </w:r>
      <w:r w:rsidRPr="00A351AB">
        <w:rPr>
          <w:rFonts w:ascii="Arial" w:hAnsi="Arial" w:cs="Arial"/>
          <w:lang w:val="en-GB"/>
        </w:rPr>
        <w:t xml:space="preserve"> surrender to the UK </w:t>
      </w:r>
      <w:r w:rsidR="00C457A9">
        <w:rPr>
          <w:rFonts w:ascii="Arial" w:hAnsi="Arial" w:cs="Arial"/>
          <w:lang w:val="en-GB"/>
        </w:rPr>
        <w:t>violates</w:t>
      </w:r>
      <w:r w:rsidRPr="00A351AB">
        <w:rPr>
          <w:rFonts w:ascii="Arial" w:hAnsi="Arial" w:cs="Arial"/>
          <w:lang w:val="en-GB"/>
        </w:rPr>
        <w:t xml:space="preserve"> fundamental rights.</w:t>
      </w:r>
    </w:p>
    <w:p w14:paraId="635D9182" w14:textId="77777777" w:rsidR="005B42B4" w:rsidRPr="00A351AB" w:rsidRDefault="005B42B4" w:rsidP="0036552D">
      <w:pPr>
        <w:spacing w:after="0" w:line="240" w:lineRule="auto"/>
        <w:jc w:val="both"/>
        <w:rPr>
          <w:rFonts w:ascii="Arial" w:hAnsi="Arial" w:cs="Arial"/>
          <w:lang w:val="en-GB"/>
        </w:rPr>
      </w:pPr>
    </w:p>
    <w:p w14:paraId="6DD3CF36" w14:textId="711D21C1" w:rsidR="005B42B4" w:rsidRPr="00A351AB" w:rsidRDefault="005B42B4" w:rsidP="0036552D">
      <w:pPr>
        <w:spacing w:after="0" w:line="240" w:lineRule="auto"/>
        <w:jc w:val="both"/>
        <w:rPr>
          <w:rFonts w:ascii="Arial" w:hAnsi="Arial" w:cs="Arial"/>
          <w:b/>
          <w:bCs/>
          <w:lang w:val="en-GB"/>
        </w:rPr>
      </w:pPr>
      <w:r w:rsidRPr="00A351AB">
        <w:rPr>
          <w:rFonts w:ascii="Arial" w:hAnsi="Arial" w:cs="Arial"/>
          <w:b/>
          <w:bCs/>
          <w:lang w:val="en-GB"/>
        </w:rPr>
        <w:t>Background</w:t>
      </w:r>
    </w:p>
    <w:p w14:paraId="0BB5D97B" w14:textId="4D9B7707" w:rsidR="0036552D" w:rsidRPr="00A351AB" w:rsidRDefault="005B42B4" w:rsidP="0036552D">
      <w:pPr>
        <w:spacing w:after="0" w:line="240" w:lineRule="auto"/>
        <w:jc w:val="both"/>
        <w:rPr>
          <w:rFonts w:ascii="Arial" w:hAnsi="Arial" w:cs="Arial"/>
          <w:lang w:val="en-GB"/>
        </w:rPr>
      </w:pPr>
      <w:r w:rsidRPr="00A351AB">
        <w:rPr>
          <w:rFonts w:ascii="Arial" w:hAnsi="Arial" w:cs="Arial"/>
          <w:lang w:val="en-GB"/>
        </w:rPr>
        <w:t xml:space="preserve">In </w:t>
      </w:r>
      <w:hyperlink r:id="rId12" w:history="1">
        <w:r w:rsidRPr="00A351AB">
          <w:rPr>
            <w:rStyle w:val="Hipervnculo"/>
            <w:rFonts w:ascii="Arial" w:hAnsi="Arial" w:cs="Arial"/>
            <w:lang w:val="en-GB"/>
          </w:rPr>
          <w:t>section 30(1) of the Counter-Terrorism and Sentencing Act 2021</w:t>
        </w:r>
      </w:hyperlink>
      <w:r w:rsidRPr="00A351AB">
        <w:rPr>
          <w:rFonts w:ascii="Arial" w:hAnsi="Arial" w:cs="Arial"/>
          <w:lang w:val="en-GB"/>
        </w:rPr>
        <w:t xml:space="preserve"> (“CTSA”), Parliament </w:t>
      </w:r>
      <w:r w:rsidRPr="00C457A9">
        <w:rPr>
          <w:rFonts w:ascii="Arial" w:hAnsi="Arial" w:cs="Arial"/>
          <w:color w:val="000000" w:themeColor="text1"/>
          <w:lang w:val="en-GB"/>
        </w:rPr>
        <w:t xml:space="preserve">introduced </w:t>
      </w:r>
      <w:r w:rsidR="00C457A9" w:rsidRPr="00C457A9">
        <w:rPr>
          <w:rFonts w:ascii="Arial" w:hAnsi="Arial" w:cs="Arial"/>
          <w:color w:val="000000" w:themeColor="text1"/>
          <w:lang w:val="en-GB"/>
        </w:rPr>
        <w:t>Article 20A</w:t>
      </w:r>
      <w:r w:rsidR="00C457A9" w:rsidRPr="00C457A9">
        <w:rPr>
          <w:rFonts w:ascii="Arial" w:hAnsi="Arial" w:cs="Arial"/>
          <w:lang w:val="en-GB"/>
        </w:rPr>
        <w:t xml:space="preserve"> into </w:t>
      </w:r>
      <w:hyperlink r:id="rId13" w:history="1">
        <w:r w:rsidR="00C457A9" w:rsidRPr="00C457A9">
          <w:rPr>
            <w:rStyle w:val="Hipervnculo"/>
            <w:rFonts w:ascii="Arial" w:hAnsi="Arial" w:cs="Arial"/>
            <w:lang w:val="en-GB"/>
          </w:rPr>
          <w:t>the Criminal Justice (Northern Ireland) Order 2008</w:t>
        </w:r>
      </w:hyperlink>
      <w:r w:rsidRPr="00A351AB">
        <w:rPr>
          <w:rFonts w:ascii="Arial" w:hAnsi="Arial" w:cs="Arial"/>
          <w:lang w:val="en-GB"/>
        </w:rPr>
        <w:t xml:space="preserve"> </w:t>
      </w:r>
      <w:r w:rsidR="005E1438" w:rsidRPr="00A351AB">
        <w:rPr>
          <w:rFonts w:ascii="Arial" w:hAnsi="Arial" w:cs="Arial"/>
          <w:lang w:val="en-GB"/>
        </w:rPr>
        <w:t xml:space="preserve">(“the Order”) </w:t>
      </w:r>
      <w:r w:rsidRPr="00A351AB">
        <w:rPr>
          <w:rFonts w:ascii="Arial" w:hAnsi="Arial" w:cs="Arial"/>
          <w:lang w:val="en-GB"/>
        </w:rPr>
        <w:t>which</w:t>
      </w:r>
      <w:r w:rsidR="005E1438" w:rsidRPr="00A351AB">
        <w:rPr>
          <w:rFonts w:ascii="Arial" w:hAnsi="Arial" w:cs="Arial"/>
          <w:lang w:val="en-GB"/>
        </w:rPr>
        <w:t>, in respect of certain specified “</w:t>
      </w:r>
      <w:r w:rsidR="005E1438" w:rsidRPr="00A351AB">
        <w:rPr>
          <w:rFonts w:ascii="Arial" w:hAnsi="Arial" w:cs="Arial"/>
          <w:i/>
          <w:iCs/>
          <w:lang w:val="en-GB"/>
        </w:rPr>
        <w:t>terrorist offences</w:t>
      </w:r>
      <w:r w:rsidR="005E1438" w:rsidRPr="00A351AB">
        <w:rPr>
          <w:rFonts w:ascii="Arial" w:hAnsi="Arial" w:cs="Arial"/>
          <w:lang w:val="en-GB"/>
        </w:rPr>
        <w:t>”, alter</w:t>
      </w:r>
      <w:r w:rsidR="00C457A9">
        <w:rPr>
          <w:rFonts w:ascii="Arial" w:hAnsi="Arial" w:cs="Arial"/>
          <w:lang w:val="en-GB"/>
        </w:rPr>
        <w:t>s</w:t>
      </w:r>
      <w:r w:rsidR="005E1438" w:rsidRPr="00A351AB">
        <w:rPr>
          <w:rFonts w:ascii="Arial" w:hAnsi="Arial" w:cs="Arial"/>
          <w:lang w:val="en-GB"/>
        </w:rPr>
        <w:t xml:space="preserve"> </w:t>
      </w:r>
      <w:r w:rsidRPr="00A351AB">
        <w:rPr>
          <w:rFonts w:ascii="Arial" w:hAnsi="Arial" w:cs="Arial"/>
          <w:lang w:val="en-GB"/>
        </w:rPr>
        <w:t xml:space="preserve">the </w:t>
      </w:r>
      <w:r w:rsidR="00C457A9">
        <w:rPr>
          <w:rFonts w:ascii="Arial" w:hAnsi="Arial" w:cs="Arial"/>
          <w:lang w:val="en-GB"/>
        </w:rPr>
        <w:t xml:space="preserve">custodial </w:t>
      </w:r>
      <w:r w:rsidRPr="00A351AB">
        <w:rPr>
          <w:rFonts w:ascii="Arial" w:hAnsi="Arial" w:cs="Arial"/>
          <w:lang w:val="en-GB"/>
        </w:rPr>
        <w:t xml:space="preserve">period </w:t>
      </w:r>
      <w:r w:rsidR="005E1438" w:rsidRPr="00A351AB">
        <w:rPr>
          <w:rFonts w:ascii="Arial" w:hAnsi="Arial" w:cs="Arial"/>
          <w:lang w:val="en-GB"/>
        </w:rPr>
        <w:t xml:space="preserve">which must be served </w:t>
      </w:r>
      <w:r w:rsidR="005E1438" w:rsidRPr="00A351AB">
        <w:rPr>
          <w:rFonts w:ascii="Arial" w:hAnsi="Arial" w:cs="Arial"/>
          <w:u w:val="single"/>
          <w:lang w:val="en-GB"/>
        </w:rPr>
        <w:t>and</w:t>
      </w:r>
      <w:r w:rsidR="005E1438" w:rsidRPr="00A351AB">
        <w:rPr>
          <w:rFonts w:ascii="Arial" w:hAnsi="Arial" w:cs="Arial"/>
          <w:lang w:val="en-GB"/>
        </w:rPr>
        <w:t xml:space="preserve"> </w:t>
      </w:r>
      <w:r w:rsidR="00BB7542" w:rsidRPr="00A351AB">
        <w:rPr>
          <w:rFonts w:ascii="Arial" w:hAnsi="Arial" w:cs="Arial"/>
          <w:lang w:val="en-GB"/>
        </w:rPr>
        <w:t>require</w:t>
      </w:r>
      <w:r w:rsidR="00C457A9">
        <w:rPr>
          <w:rFonts w:ascii="Arial" w:hAnsi="Arial" w:cs="Arial"/>
          <w:lang w:val="en-GB"/>
        </w:rPr>
        <w:t>s</w:t>
      </w:r>
      <w:r w:rsidR="005E1438" w:rsidRPr="00A351AB">
        <w:rPr>
          <w:rFonts w:ascii="Arial" w:hAnsi="Arial" w:cs="Arial"/>
          <w:lang w:val="en-GB"/>
        </w:rPr>
        <w:t xml:space="preserve"> referr</w:t>
      </w:r>
      <w:r w:rsidR="00C457A9">
        <w:rPr>
          <w:rFonts w:ascii="Arial" w:hAnsi="Arial" w:cs="Arial"/>
          <w:lang w:val="en-GB"/>
        </w:rPr>
        <w:t>al</w:t>
      </w:r>
      <w:r w:rsidR="005E1438" w:rsidRPr="00A351AB">
        <w:rPr>
          <w:rFonts w:ascii="Arial" w:hAnsi="Arial" w:cs="Arial"/>
          <w:lang w:val="en-GB"/>
        </w:rPr>
        <w:t xml:space="preserve"> to</w:t>
      </w:r>
      <w:r w:rsidRPr="00A351AB">
        <w:rPr>
          <w:rFonts w:ascii="Arial" w:hAnsi="Arial" w:cs="Arial"/>
          <w:lang w:val="en-GB"/>
        </w:rPr>
        <w:t xml:space="preserve"> the Parole Commissioners </w:t>
      </w:r>
      <w:r w:rsidR="00BB7542" w:rsidRPr="00A351AB">
        <w:rPr>
          <w:rFonts w:ascii="Arial" w:hAnsi="Arial" w:cs="Arial"/>
          <w:lang w:val="en-GB"/>
        </w:rPr>
        <w:t xml:space="preserve">in lieu of automatic release. Article 20A </w:t>
      </w:r>
      <w:r w:rsidR="00AB4B25" w:rsidRPr="00A351AB">
        <w:rPr>
          <w:rFonts w:ascii="Arial" w:hAnsi="Arial" w:cs="Arial"/>
          <w:lang w:val="en-GB"/>
        </w:rPr>
        <w:t>is the</w:t>
      </w:r>
      <w:r w:rsidR="00BB7542" w:rsidRPr="00A351AB">
        <w:rPr>
          <w:rFonts w:ascii="Arial" w:hAnsi="Arial" w:cs="Arial"/>
          <w:lang w:val="en-GB"/>
        </w:rPr>
        <w:t xml:space="preserve"> Northern Irish</w:t>
      </w:r>
      <w:r w:rsidR="00AB4B25" w:rsidRPr="00A351AB">
        <w:rPr>
          <w:rFonts w:ascii="Arial" w:hAnsi="Arial" w:cs="Arial"/>
          <w:lang w:val="en-GB"/>
        </w:rPr>
        <w:t xml:space="preserve"> equivalent of </w:t>
      </w:r>
      <w:hyperlink r:id="rId14" w:history="1">
        <w:r w:rsidR="00AB4B25" w:rsidRPr="00A351AB">
          <w:rPr>
            <w:rStyle w:val="Hipervnculo"/>
            <w:rFonts w:ascii="Arial" w:hAnsi="Arial" w:cs="Arial"/>
            <w:lang w:val="en-GB"/>
          </w:rPr>
          <w:t>section 247A of the Criminal Justice Act 2003</w:t>
        </w:r>
      </w:hyperlink>
      <w:r w:rsidR="00AB4B25" w:rsidRPr="00A351AB">
        <w:rPr>
          <w:rFonts w:ascii="Arial" w:hAnsi="Arial" w:cs="Arial"/>
          <w:lang w:val="en-GB"/>
        </w:rPr>
        <w:t xml:space="preserve"> in England and Wales</w:t>
      </w:r>
      <w:r w:rsidR="00C457A9">
        <w:rPr>
          <w:rFonts w:ascii="Arial" w:hAnsi="Arial" w:cs="Arial"/>
          <w:lang w:val="en-GB"/>
        </w:rPr>
        <w:t>. In</w:t>
      </w:r>
      <w:r w:rsidR="005E1438" w:rsidRPr="00A351AB">
        <w:rPr>
          <w:rFonts w:ascii="Arial" w:hAnsi="Arial" w:cs="Arial"/>
          <w:lang w:val="en-GB"/>
        </w:rPr>
        <w:t xml:space="preserve"> </w:t>
      </w:r>
      <w:hyperlink r:id="rId15" w:history="1">
        <w:r w:rsidR="005E1438" w:rsidRPr="00A351AB">
          <w:rPr>
            <w:rStyle w:val="Hipervnculo"/>
            <w:rFonts w:ascii="Arial" w:hAnsi="Arial" w:cs="Arial"/>
            <w:b/>
            <w:bCs/>
            <w:i/>
            <w:iCs/>
            <w:lang w:val="en-GB"/>
          </w:rPr>
          <w:t xml:space="preserve">Morgan &amp; </w:t>
        </w:r>
        <w:proofErr w:type="spellStart"/>
        <w:r w:rsidR="005E1438" w:rsidRPr="00A351AB">
          <w:rPr>
            <w:rStyle w:val="Hipervnculo"/>
            <w:rFonts w:ascii="Arial" w:hAnsi="Arial" w:cs="Arial"/>
            <w:b/>
            <w:bCs/>
            <w:i/>
            <w:iCs/>
            <w:lang w:val="en-GB"/>
          </w:rPr>
          <w:t>Ors</w:t>
        </w:r>
        <w:proofErr w:type="spellEnd"/>
        <w:r w:rsidR="005E1438" w:rsidRPr="00A351AB">
          <w:rPr>
            <w:rStyle w:val="Hipervnculo"/>
            <w:rFonts w:ascii="Arial" w:hAnsi="Arial" w:cs="Arial"/>
            <w:b/>
            <w:bCs/>
            <w:i/>
            <w:iCs/>
            <w:lang w:val="en-GB"/>
          </w:rPr>
          <w:t xml:space="preserve"> v Ministry of Justice </w:t>
        </w:r>
        <w:r w:rsidR="005E1438" w:rsidRPr="00A351AB">
          <w:rPr>
            <w:rStyle w:val="Hipervnculo"/>
            <w:rFonts w:ascii="Arial" w:hAnsi="Arial" w:cs="Arial"/>
            <w:lang w:val="en-GB"/>
          </w:rPr>
          <w:t>[2023] UKSC 14; [2024] AC 130</w:t>
        </w:r>
      </w:hyperlink>
      <w:r w:rsidR="00C457A9">
        <w:rPr>
          <w:rStyle w:val="Hipervnculo"/>
          <w:rFonts w:ascii="Arial" w:hAnsi="Arial" w:cs="Arial"/>
          <w:lang w:val="en-GB"/>
        </w:rPr>
        <w:t>, the UK Supreme Court (“UKSC”)</w:t>
      </w:r>
      <w:r w:rsidR="00AB4B25" w:rsidRPr="00A351AB">
        <w:rPr>
          <w:rFonts w:ascii="Arial" w:hAnsi="Arial" w:cs="Arial"/>
          <w:lang w:val="en-GB"/>
        </w:rPr>
        <w:t xml:space="preserve"> </w:t>
      </w:r>
      <w:r w:rsidR="00C457A9">
        <w:rPr>
          <w:rFonts w:ascii="Arial" w:hAnsi="Arial" w:cs="Arial"/>
          <w:lang w:val="en-GB"/>
        </w:rPr>
        <w:t>applied</w:t>
      </w:r>
      <w:r w:rsidR="00AB4B25" w:rsidRPr="00A351AB">
        <w:rPr>
          <w:rFonts w:ascii="Arial" w:hAnsi="Arial" w:cs="Arial"/>
          <w:lang w:val="en-GB"/>
        </w:rPr>
        <w:t xml:space="preserve"> </w:t>
      </w:r>
      <w:hyperlink r:id="rId16" w:history="1">
        <w:r w:rsidR="00AB4B25" w:rsidRPr="00A351AB">
          <w:rPr>
            <w:rStyle w:val="Hipervnculo"/>
            <w:rFonts w:ascii="Arial" w:hAnsi="Arial" w:cs="Arial"/>
            <w:b/>
            <w:bCs/>
            <w:i/>
            <w:iCs/>
            <w:lang w:val="en-GB"/>
          </w:rPr>
          <w:t xml:space="preserve">Del Río Prado v Spain </w:t>
        </w:r>
        <w:r w:rsidR="00AB4B25" w:rsidRPr="00A351AB">
          <w:rPr>
            <w:rStyle w:val="Hipervnculo"/>
            <w:rFonts w:ascii="Arial" w:hAnsi="Arial" w:cs="Arial"/>
            <w:lang w:val="en-GB"/>
          </w:rPr>
          <w:t xml:space="preserve">(42750/09, 21 October 2013) </w:t>
        </w:r>
        <w:r w:rsidR="00920D3C" w:rsidRPr="00A351AB">
          <w:rPr>
            <w:rStyle w:val="Hipervnculo"/>
            <w:rFonts w:ascii="Arial" w:hAnsi="Arial" w:cs="Arial"/>
            <w:lang w:val="en-GB"/>
          </w:rPr>
          <w:t>(CE:ECHR:2013:1021.JUD004275009)</w:t>
        </w:r>
      </w:hyperlink>
      <w:r w:rsidR="00AB4B25" w:rsidRPr="00A351AB">
        <w:rPr>
          <w:rFonts w:ascii="Arial" w:hAnsi="Arial" w:cs="Arial"/>
          <w:lang w:val="en-GB"/>
        </w:rPr>
        <w:t xml:space="preserve"> and </w:t>
      </w:r>
      <w:r w:rsidR="00C457A9">
        <w:rPr>
          <w:rFonts w:ascii="Arial" w:hAnsi="Arial" w:cs="Arial"/>
          <w:lang w:val="en-GB"/>
        </w:rPr>
        <w:t>drew</w:t>
      </w:r>
      <w:r w:rsidR="00C457A9" w:rsidRPr="00A351AB">
        <w:rPr>
          <w:rFonts w:ascii="Arial" w:hAnsi="Arial" w:cs="Arial"/>
          <w:lang w:val="en-GB"/>
        </w:rPr>
        <w:t xml:space="preserve"> </w:t>
      </w:r>
      <w:r w:rsidR="00AB4B25" w:rsidRPr="00A351AB">
        <w:rPr>
          <w:rFonts w:ascii="Arial" w:hAnsi="Arial" w:cs="Arial"/>
          <w:lang w:val="en-GB"/>
        </w:rPr>
        <w:t>a distinction between redefinition or modification of a penalty, which engages Article 7 ECHR, and changes to the manner of execution and enforcement of a penalty, which do</w:t>
      </w:r>
      <w:r w:rsidR="00BB7542" w:rsidRPr="00A351AB">
        <w:rPr>
          <w:rFonts w:ascii="Arial" w:hAnsi="Arial" w:cs="Arial"/>
          <w:lang w:val="en-GB"/>
        </w:rPr>
        <w:t>es</w:t>
      </w:r>
      <w:r w:rsidR="00AB4B25" w:rsidRPr="00A351AB">
        <w:rPr>
          <w:rFonts w:ascii="Arial" w:hAnsi="Arial" w:cs="Arial"/>
          <w:lang w:val="en-GB"/>
        </w:rPr>
        <w:t xml:space="preserve"> not (§§105-117).</w:t>
      </w:r>
    </w:p>
    <w:p w14:paraId="77FC3A27" w14:textId="77777777" w:rsidR="00AB4B25" w:rsidRPr="00A351AB" w:rsidRDefault="00AB4B25" w:rsidP="0036552D">
      <w:pPr>
        <w:spacing w:after="0" w:line="240" w:lineRule="auto"/>
        <w:jc w:val="both"/>
        <w:rPr>
          <w:rFonts w:ascii="Arial" w:hAnsi="Arial" w:cs="Arial"/>
          <w:lang w:val="en-GB"/>
        </w:rPr>
      </w:pPr>
    </w:p>
    <w:p w14:paraId="6E243896" w14:textId="694246EA" w:rsidR="00AB4B25" w:rsidRPr="00A351AB" w:rsidRDefault="00C457A9" w:rsidP="0036552D">
      <w:pPr>
        <w:spacing w:after="0" w:line="240" w:lineRule="auto"/>
        <w:jc w:val="both"/>
        <w:rPr>
          <w:rFonts w:ascii="Arial" w:hAnsi="Arial" w:cs="Arial"/>
          <w:lang w:val="en-GB"/>
        </w:rPr>
      </w:pPr>
      <w:r>
        <w:rPr>
          <w:rFonts w:ascii="Arial" w:hAnsi="Arial" w:cs="Arial"/>
          <w:lang w:val="en-GB"/>
        </w:rPr>
        <w:t xml:space="preserve">In </w:t>
      </w:r>
      <w:r>
        <w:rPr>
          <w:rFonts w:ascii="Arial" w:hAnsi="Arial" w:cs="Arial"/>
          <w:b/>
          <w:bCs/>
          <w:i/>
          <w:iCs/>
          <w:lang w:val="en-GB"/>
        </w:rPr>
        <w:t>Walsh</w:t>
      </w:r>
      <w:r w:rsidR="0085105D">
        <w:rPr>
          <w:rFonts w:ascii="Arial" w:hAnsi="Arial" w:cs="Arial"/>
          <w:lang w:val="en-GB"/>
        </w:rPr>
        <w:t>, t</w:t>
      </w:r>
      <w:r w:rsidR="00546BA1" w:rsidRPr="00A351AB">
        <w:rPr>
          <w:rFonts w:ascii="Arial" w:hAnsi="Arial" w:cs="Arial"/>
          <w:lang w:val="en-GB"/>
        </w:rPr>
        <w:t xml:space="preserve">he </w:t>
      </w:r>
      <w:r w:rsidR="00BB7542" w:rsidRPr="00A351AB">
        <w:rPr>
          <w:rFonts w:ascii="Arial" w:hAnsi="Arial" w:cs="Arial"/>
          <w:lang w:val="en-GB"/>
        </w:rPr>
        <w:t>IESC</w:t>
      </w:r>
      <w:r w:rsidR="00546BA1" w:rsidRPr="00A351AB">
        <w:rPr>
          <w:rFonts w:ascii="Arial" w:hAnsi="Arial" w:cs="Arial"/>
          <w:lang w:val="en-GB"/>
        </w:rPr>
        <w:t xml:space="preserve"> asked the CJEU whether it could </w:t>
      </w:r>
      <w:r>
        <w:rPr>
          <w:rFonts w:ascii="Arial" w:hAnsi="Arial" w:cs="Arial"/>
          <w:lang w:val="en-GB"/>
        </w:rPr>
        <w:t>rely on the following matters:</w:t>
      </w:r>
      <w:r w:rsidRPr="00A351AB">
        <w:rPr>
          <w:rFonts w:ascii="Arial" w:hAnsi="Arial" w:cs="Arial"/>
          <w:lang w:val="en-GB"/>
        </w:rPr>
        <w:t xml:space="preserve"> </w:t>
      </w:r>
      <w:r>
        <w:rPr>
          <w:rFonts w:ascii="Arial" w:hAnsi="Arial" w:cs="Arial"/>
          <w:lang w:val="en-GB"/>
        </w:rPr>
        <w:t>(</w:t>
      </w:r>
      <w:proofErr w:type="spellStart"/>
      <w:r>
        <w:rPr>
          <w:rFonts w:ascii="Arial" w:hAnsi="Arial" w:cs="Arial"/>
          <w:lang w:val="en-GB"/>
        </w:rPr>
        <w:t>i</w:t>
      </w:r>
      <w:proofErr w:type="spellEnd"/>
      <w:r>
        <w:rPr>
          <w:rFonts w:ascii="Arial" w:hAnsi="Arial" w:cs="Arial"/>
          <w:lang w:val="en-GB"/>
        </w:rPr>
        <w:t>)</w:t>
      </w:r>
      <w:r w:rsidRPr="00A351AB">
        <w:rPr>
          <w:rFonts w:ascii="Arial" w:hAnsi="Arial" w:cs="Arial"/>
          <w:lang w:val="en-GB"/>
        </w:rPr>
        <w:t xml:space="preserve"> </w:t>
      </w:r>
      <w:r w:rsidR="00546BA1" w:rsidRPr="00A351AB">
        <w:rPr>
          <w:rFonts w:ascii="Arial" w:hAnsi="Arial" w:cs="Arial"/>
          <w:lang w:val="en-GB"/>
        </w:rPr>
        <w:t>the fact that the UK was a Contracting Party to the ECHR</w:t>
      </w:r>
      <w:r w:rsidR="0085105D">
        <w:rPr>
          <w:rFonts w:ascii="Arial" w:hAnsi="Arial" w:cs="Arial"/>
          <w:lang w:val="en-GB"/>
        </w:rPr>
        <w:t>;</w:t>
      </w:r>
      <w:r w:rsidR="00546BA1" w:rsidRPr="00A351AB">
        <w:rPr>
          <w:rFonts w:ascii="Arial" w:hAnsi="Arial" w:cs="Arial"/>
          <w:lang w:val="en-GB"/>
        </w:rPr>
        <w:t xml:space="preserve"> </w:t>
      </w:r>
      <w:r>
        <w:rPr>
          <w:rFonts w:ascii="Arial" w:hAnsi="Arial" w:cs="Arial"/>
          <w:lang w:val="en-GB"/>
        </w:rPr>
        <w:t xml:space="preserve">(ii) that the UK </w:t>
      </w:r>
      <w:r w:rsidR="00546BA1" w:rsidRPr="00A351AB">
        <w:rPr>
          <w:rFonts w:ascii="Arial" w:hAnsi="Arial" w:cs="Arial"/>
          <w:lang w:val="en-GB"/>
        </w:rPr>
        <w:t>gives effect to Article 7 ECHR</w:t>
      </w:r>
      <w:r w:rsidR="00BB7542" w:rsidRPr="00A351AB">
        <w:rPr>
          <w:rFonts w:ascii="Arial" w:hAnsi="Arial" w:cs="Arial"/>
          <w:lang w:val="en-GB"/>
        </w:rPr>
        <w:t xml:space="preserve"> in domestic law</w:t>
      </w:r>
      <w:r w:rsidR="0085105D">
        <w:rPr>
          <w:rFonts w:ascii="Arial" w:hAnsi="Arial" w:cs="Arial"/>
          <w:lang w:val="en-GB"/>
        </w:rPr>
        <w:t xml:space="preserve">; </w:t>
      </w:r>
      <w:r>
        <w:rPr>
          <w:rFonts w:ascii="Arial" w:hAnsi="Arial" w:cs="Arial"/>
          <w:lang w:val="en-GB"/>
        </w:rPr>
        <w:t xml:space="preserve">(iii) </w:t>
      </w:r>
      <w:r w:rsidR="00546BA1" w:rsidRPr="00A351AB">
        <w:rPr>
          <w:rFonts w:ascii="Arial" w:hAnsi="Arial" w:cs="Arial"/>
          <w:lang w:val="en-GB"/>
        </w:rPr>
        <w:t xml:space="preserve">the </w:t>
      </w:r>
      <w:r w:rsidR="00BB7542" w:rsidRPr="00A351AB">
        <w:rPr>
          <w:rFonts w:ascii="Arial" w:hAnsi="Arial" w:cs="Arial"/>
          <w:lang w:val="en-GB"/>
        </w:rPr>
        <w:t>UKSC found the Order</w:t>
      </w:r>
      <w:r w:rsidR="00546BA1" w:rsidRPr="00A351AB">
        <w:rPr>
          <w:rFonts w:ascii="Arial" w:hAnsi="Arial" w:cs="Arial"/>
          <w:lang w:val="en-GB"/>
        </w:rPr>
        <w:t xml:space="preserve"> </w:t>
      </w:r>
      <w:r w:rsidR="00BB7542" w:rsidRPr="00A351AB">
        <w:rPr>
          <w:rFonts w:ascii="Arial" w:hAnsi="Arial" w:cs="Arial"/>
          <w:lang w:val="en-GB"/>
        </w:rPr>
        <w:t xml:space="preserve">compatible </w:t>
      </w:r>
      <w:r>
        <w:rPr>
          <w:rFonts w:ascii="Arial" w:hAnsi="Arial" w:cs="Arial"/>
          <w:lang w:val="en-GB"/>
        </w:rPr>
        <w:t>with Article 7 ECHR</w:t>
      </w:r>
      <w:r w:rsidR="0085105D">
        <w:rPr>
          <w:rFonts w:ascii="Arial" w:hAnsi="Arial" w:cs="Arial"/>
          <w:lang w:val="en-GB"/>
        </w:rPr>
        <w:t>;</w:t>
      </w:r>
      <w:r>
        <w:rPr>
          <w:rFonts w:ascii="Arial" w:hAnsi="Arial" w:cs="Arial"/>
          <w:lang w:val="en-GB"/>
        </w:rPr>
        <w:t xml:space="preserve"> (iv)</w:t>
      </w:r>
      <w:r w:rsidR="00BB7542" w:rsidRPr="00A351AB">
        <w:rPr>
          <w:rFonts w:ascii="Arial" w:hAnsi="Arial" w:cs="Arial"/>
          <w:lang w:val="en-GB"/>
        </w:rPr>
        <w:t xml:space="preserve"> </w:t>
      </w:r>
      <w:r w:rsidR="00546BA1" w:rsidRPr="00A351AB">
        <w:rPr>
          <w:rFonts w:ascii="Arial" w:hAnsi="Arial" w:cs="Arial"/>
          <w:lang w:val="en-GB"/>
        </w:rPr>
        <w:t>there is a right of individual petition to the European Court of Human Rights (“ECtHR”)</w:t>
      </w:r>
      <w:r w:rsidR="0085105D">
        <w:rPr>
          <w:rFonts w:ascii="Arial" w:hAnsi="Arial" w:cs="Arial"/>
          <w:lang w:val="en-GB"/>
        </w:rPr>
        <w:t xml:space="preserve">; </w:t>
      </w:r>
      <w:r w:rsidR="00546BA1" w:rsidRPr="00A351AB">
        <w:rPr>
          <w:rFonts w:ascii="Arial" w:hAnsi="Arial" w:cs="Arial"/>
          <w:lang w:val="en-GB"/>
        </w:rPr>
        <w:t xml:space="preserve">and </w:t>
      </w:r>
      <w:r>
        <w:rPr>
          <w:rFonts w:ascii="Arial" w:hAnsi="Arial" w:cs="Arial"/>
          <w:lang w:val="en-GB"/>
        </w:rPr>
        <w:t xml:space="preserve">(v) </w:t>
      </w:r>
      <w:r w:rsidR="00546BA1" w:rsidRPr="00A351AB">
        <w:rPr>
          <w:rFonts w:ascii="Arial" w:hAnsi="Arial" w:cs="Arial"/>
          <w:lang w:val="en-GB"/>
        </w:rPr>
        <w:t xml:space="preserve">there is no </w:t>
      </w:r>
      <w:r w:rsidR="00BB7542" w:rsidRPr="00A351AB">
        <w:rPr>
          <w:rFonts w:ascii="Arial" w:hAnsi="Arial" w:cs="Arial"/>
          <w:lang w:val="en-GB"/>
        </w:rPr>
        <w:t>basis</w:t>
      </w:r>
      <w:r w:rsidR="00546BA1" w:rsidRPr="00A351AB">
        <w:rPr>
          <w:rFonts w:ascii="Arial" w:hAnsi="Arial" w:cs="Arial"/>
          <w:lang w:val="en-GB"/>
        </w:rPr>
        <w:t xml:space="preserve"> to </w:t>
      </w:r>
      <w:r>
        <w:rPr>
          <w:rFonts w:ascii="Arial" w:hAnsi="Arial" w:cs="Arial"/>
          <w:lang w:val="en-GB"/>
        </w:rPr>
        <w:t>suggest</w:t>
      </w:r>
      <w:r w:rsidRPr="00A351AB">
        <w:rPr>
          <w:rFonts w:ascii="Arial" w:hAnsi="Arial" w:cs="Arial"/>
          <w:lang w:val="en-GB"/>
        </w:rPr>
        <w:t xml:space="preserve"> </w:t>
      </w:r>
      <w:r w:rsidR="00546BA1" w:rsidRPr="00A351AB">
        <w:rPr>
          <w:rFonts w:ascii="Arial" w:hAnsi="Arial" w:cs="Arial"/>
          <w:lang w:val="en-GB"/>
        </w:rPr>
        <w:t xml:space="preserve">that the UK </w:t>
      </w:r>
      <w:r w:rsidR="00BB7542" w:rsidRPr="00A351AB">
        <w:rPr>
          <w:rFonts w:ascii="Arial" w:hAnsi="Arial" w:cs="Arial"/>
          <w:lang w:val="en-GB"/>
        </w:rPr>
        <w:t xml:space="preserve">will not abide by a </w:t>
      </w:r>
      <w:r>
        <w:rPr>
          <w:rFonts w:ascii="Arial" w:hAnsi="Arial" w:cs="Arial"/>
          <w:lang w:val="en-GB"/>
        </w:rPr>
        <w:t>ECtHR</w:t>
      </w:r>
      <w:r w:rsidRPr="00A351AB">
        <w:rPr>
          <w:rFonts w:ascii="Arial" w:hAnsi="Arial" w:cs="Arial"/>
          <w:lang w:val="en-GB"/>
        </w:rPr>
        <w:t xml:space="preserve"> </w:t>
      </w:r>
      <w:r>
        <w:rPr>
          <w:rFonts w:ascii="Arial" w:hAnsi="Arial" w:cs="Arial"/>
          <w:lang w:val="en-GB"/>
        </w:rPr>
        <w:t>ruling</w:t>
      </w:r>
      <w:r w:rsidR="00546BA1" w:rsidRPr="00A351AB">
        <w:rPr>
          <w:rFonts w:ascii="Arial" w:hAnsi="Arial" w:cs="Arial"/>
          <w:lang w:val="en-GB"/>
        </w:rPr>
        <w:t xml:space="preserve">. As such, the </w:t>
      </w:r>
      <w:r w:rsidR="00BB7542" w:rsidRPr="00A351AB">
        <w:rPr>
          <w:rFonts w:ascii="Arial" w:hAnsi="Arial" w:cs="Arial"/>
          <w:lang w:val="en-GB"/>
        </w:rPr>
        <w:t>IESC wished to</w:t>
      </w:r>
      <w:r w:rsidR="00546BA1" w:rsidRPr="00A351AB">
        <w:rPr>
          <w:rFonts w:ascii="Arial" w:hAnsi="Arial" w:cs="Arial"/>
          <w:lang w:val="en-GB"/>
        </w:rPr>
        <w:t xml:space="preserve"> </w:t>
      </w:r>
      <w:r w:rsidR="00BB7542" w:rsidRPr="00A351AB">
        <w:rPr>
          <w:rFonts w:ascii="Arial" w:hAnsi="Arial" w:cs="Arial"/>
          <w:lang w:val="en-GB"/>
        </w:rPr>
        <w:t xml:space="preserve">rely on </w:t>
      </w:r>
      <w:r w:rsidR="00BB7542" w:rsidRPr="00C457A9">
        <w:rPr>
          <w:rFonts w:ascii="Arial" w:hAnsi="Arial" w:cs="Arial"/>
          <w:u w:val="single"/>
          <w:lang w:val="en-GB"/>
        </w:rPr>
        <w:t>the UKSC’s assessment</w:t>
      </w:r>
      <w:r w:rsidR="00BB7542" w:rsidRPr="00A351AB">
        <w:rPr>
          <w:rFonts w:ascii="Arial" w:hAnsi="Arial" w:cs="Arial"/>
          <w:lang w:val="en-GB"/>
        </w:rPr>
        <w:t xml:space="preserve"> </w:t>
      </w:r>
      <w:r>
        <w:rPr>
          <w:rFonts w:ascii="Arial" w:hAnsi="Arial" w:cs="Arial"/>
          <w:lang w:val="en-GB"/>
        </w:rPr>
        <w:t>o</w:t>
      </w:r>
      <w:r>
        <w:rPr>
          <w:rFonts w:ascii="Arial" w:hAnsi="Arial" w:cs="Arial"/>
          <w:lang w:val="en-GB"/>
        </w:rPr>
        <w:t>f</w:t>
      </w:r>
      <w:r>
        <w:rPr>
          <w:rFonts w:ascii="Arial" w:hAnsi="Arial" w:cs="Arial"/>
          <w:lang w:val="en-GB"/>
        </w:rPr>
        <w:t xml:space="preserve"> </w:t>
      </w:r>
      <w:r w:rsidR="0085105D">
        <w:rPr>
          <w:rFonts w:ascii="Arial" w:hAnsi="Arial" w:cs="Arial"/>
          <w:lang w:val="en-GB"/>
        </w:rPr>
        <w:t xml:space="preserve">compliance with Article 7 ECHR (specifically) </w:t>
      </w:r>
      <w:r w:rsidR="00BB7542" w:rsidRPr="00A351AB">
        <w:rPr>
          <w:rFonts w:ascii="Arial" w:hAnsi="Arial" w:cs="Arial"/>
          <w:lang w:val="en-GB"/>
        </w:rPr>
        <w:t>and the UK’s adherence to the ECHR</w:t>
      </w:r>
      <w:r w:rsidR="0085105D">
        <w:rPr>
          <w:rFonts w:ascii="Arial" w:hAnsi="Arial" w:cs="Arial"/>
          <w:lang w:val="en-GB"/>
        </w:rPr>
        <w:t xml:space="preserve"> (generally).</w:t>
      </w:r>
    </w:p>
    <w:p w14:paraId="3942B505" w14:textId="77777777" w:rsidR="00546BA1" w:rsidRPr="00A351AB" w:rsidRDefault="00546BA1" w:rsidP="0036552D">
      <w:pPr>
        <w:spacing w:after="0" w:line="240" w:lineRule="auto"/>
        <w:jc w:val="both"/>
        <w:rPr>
          <w:rFonts w:ascii="Arial" w:hAnsi="Arial" w:cs="Arial"/>
          <w:lang w:val="en-GB"/>
        </w:rPr>
      </w:pPr>
    </w:p>
    <w:p w14:paraId="320A6502" w14:textId="1C80B070" w:rsidR="00546BA1" w:rsidRPr="00A351AB" w:rsidRDefault="00546BA1" w:rsidP="0036552D">
      <w:pPr>
        <w:spacing w:after="0" w:line="240" w:lineRule="auto"/>
        <w:jc w:val="both"/>
        <w:rPr>
          <w:rFonts w:ascii="Arial" w:hAnsi="Arial" w:cs="Arial"/>
          <w:b/>
          <w:bCs/>
          <w:lang w:val="en-GB"/>
        </w:rPr>
      </w:pPr>
      <w:r w:rsidRPr="00A351AB">
        <w:rPr>
          <w:rFonts w:ascii="Arial" w:hAnsi="Arial" w:cs="Arial"/>
          <w:b/>
          <w:bCs/>
          <w:lang w:val="en-GB"/>
        </w:rPr>
        <w:t>The Facts</w:t>
      </w:r>
    </w:p>
    <w:p w14:paraId="3EB9CBC4" w14:textId="108C416A" w:rsidR="003901F9" w:rsidRPr="00A351AB" w:rsidRDefault="00920D3C" w:rsidP="0036552D">
      <w:pPr>
        <w:spacing w:after="0" w:line="240" w:lineRule="auto"/>
        <w:jc w:val="both"/>
        <w:rPr>
          <w:rFonts w:ascii="Arial" w:hAnsi="Arial" w:cs="Arial"/>
          <w:lang w:val="en-GB"/>
        </w:rPr>
      </w:pPr>
      <w:r w:rsidRPr="00A351AB">
        <w:rPr>
          <w:rFonts w:ascii="Arial" w:hAnsi="Arial" w:cs="Arial"/>
          <w:lang w:val="en-GB"/>
        </w:rPr>
        <w:t>On 26 October 2021, a</w:t>
      </w:r>
      <w:r w:rsidR="00BB7542" w:rsidRPr="00A351AB">
        <w:rPr>
          <w:rFonts w:ascii="Arial" w:hAnsi="Arial" w:cs="Arial"/>
          <w:lang w:val="en-GB"/>
        </w:rPr>
        <w:t xml:space="preserve">n issuing judicial authority </w:t>
      </w:r>
      <w:r w:rsidR="00546BA1" w:rsidRPr="00A351AB">
        <w:rPr>
          <w:rFonts w:ascii="Arial" w:hAnsi="Arial" w:cs="Arial"/>
          <w:lang w:val="en-GB"/>
        </w:rPr>
        <w:t xml:space="preserve">in Northern Ireland </w:t>
      </w:r>
      <w:r w:rsidRPr="00A351AB">
        <w:rPr>
          <w:rFonts w:ascii="Arial" w:hAnsi="Arial" w:cs="Arial"/>
          <w:lang w:val="en-GB"/>
        </w:rPr>
        <w:t xml:space="preserve">issued four </w:t>
      </w:r>
      <w:r w:rsidR="00BB7542" w:rsidRPr="00A351AB">
        <w:rPr>
          <w:rFonts w:ascii="Arial" w:hAnsi="Arial" w:cs="Arial"/>
          <w:lang w:val="en-GB"/>
        </w:rPr>
        <w:t>Part 3</w:t>
      </w:r>
      <w:r w:rsidRPr="00A351AB">
        <w:rPr>
          <w:rFonts w:ascii="Arial" w:hAnsi="Arial" w:cs="Arial"/>
          <w:lang w:val="en-GB"/>
        </w:rPr>
        <w:t xml:space="preserve"> warrants</w:t>
      </w:r>
      <w:r w:rsidR="00BB7542" w:rsidRPr="00A351AB">
        <w:rPr>
          <w:rFonts w:ascii="Arial" w:hAnsi="Arial" w:cs="Arial"/>
          <w:lang w:val="en-GB"/>
        </w:rPr>
        <w:t xml:space="preserve">, which took effect under the TCA, </w:t>
      </w:r>
      <w:r w:rsidRPr="00A351AB">
        <w:rPr>
          <w:rFonts w:ascii="Arial" w:hAnsi="Arial" w:cs="Arial"/>
          <w:lang w:val="en-GB"/>
        </w:rPr>
        <w:t>in respect of terrorist offences allegedly committed between 18 and 20 July 2020</w:t>
      </w:r>
      <w:r w:rsidR="00BB7542" w:rsidRPr="00A351AB">
        <w:rPr>
          <w:rFonts w:ascii="Arial" w:hAnsi="Arial" w:cs="Arial"/>
          <w:lang w:val="en-GB"/>
        </w:rPr>
        <w:t xml:space="preserve"> in Northern Ireland</w:t>
      </w:r>
      <w:r w:rsidRPr="00A351AB">
        <w:rPr>
          <w:rFonts w:ascii="Arial" w:hAnsi="Arial" w:cs="Arial"/>
          <w:lang w:val="en-GB"/>
        </w:rPr>
        <w:t xml:space="preserve"> (§19). In October and November 2022, the High Court of Ireland ordered the requested person’s surrender </w:t>
      </w:r>
      <w:r w:rsidR="00BB7542" w:rsidRPr="00A351AB">
        <w:rPr>
          <w:rFonts w:ascii="Arial" w:hAnsi="Arial" w:cs="Arial"/>
          <w:lang w:val="en-GB"/>
        </w:rPr>
        <w:t>on foot of each</w:t>
      </w:r>
      <w:r w:rsidRPr="00A351AB">
        <w:rPr>
          <w:rFonts w:ascii="Arial" w:hAnsi="Arial" w:cs="Arial"/>
          <w:lang w:val="en-GB"/>
        </w:rPr>
        <w:t xml:space="preserve">. Under the applicable legislation in Ireland, the </w:t>
      </w:r>
      <w:hyperlink r:id="rId17" w:history="1">
        <w:r w:rsidRPr="00A351AB">
          <w:rPr>
            <w:rStyle w:val="Hipervnculo"/>
            <w:rFonts w:ascii="Arial" w:hAnsi="Arial" w:cs="Arial"/>
            <w:lang w:val="en-GB"/>
          </w:rPr>
          <w:t>European Arrest Warrant Act 2003</w:t>
        </w:r>
      </w:hyperlink>
      <w:r w:rsidRPr="00A351AB">
        <w:rPr>
          <w:rFonts w:ascii="Arial" w:hAnsi="Arial" w:cs="Arial"/>
          <w:lang w:val="en-GB"/>
        </w:rPr>
        <w:t xml:space="preserve">, the </w:t>
      </w:r>
      <w:r w:rsidR="00BB7542" w:rsidRPr="00A351AB">
        <w:rPr>
          <w:rFonts w:ascii="Arial" w:hAnsi="Arial" w:cs="Arial"/>
          <w:lang w:val="en-GB"/>
        </w:rPr>
        <w:t>UK</w:t>
      </w:r>
      <w:r w:rsidRPr="00A351AB">
        <w:rPr>
          <w:rFonts w:ascii="Arial" w:hAnsi="Arial" w:cs="Arial"/>
          <w:lang w:val="en-GB"/>
        </w:rPr>
        <w:t xml:space="preserve"> must be treated as if a</w:t>
      </w:r>
      <w:r w:rsidR="00BB7542" w:rsidRPr="00A351AB">
        <w:rPr>
          <w:rFonts w:ascii="Arial" w:hAnsi="Arial" w:cs="Arial"/>
          <w:lang w:val="en-GB"/>
        </w:rPr>
        <w:t>n EU</w:t>
      </w:r>
      <w:r w:rsidRPr="00A351AB">
        <w:rPr>
          <w:rFonts w:ascii="Arial" w:hAnsi="Arial" w:cs="Arial"/>
          <w:lang w:val="en-GB"/>
        </w:rPr>
        <w:t xml:space="preserve"> Member State. This mean</w:t>
      </w:r>
      <w:r w:rsidR="003901F9" w:rsidRPr="00A351AB">
        <w:rPr>
          <w:rFonts w:ascii="Arial" w:hAnsi="Arial" w:cs="Arial"/>
          <w:lang w:val="en-GB"/>
        </w:rPr>
        <w:t>s</w:t>
      </w:r>
      <w:r w:rsidRPr="00A351AB">
        <w:rPr>
          <w:rFonts w:ascii="Arial" w:hAnsi="Arial" w:cs="Arial"/>
          <w:lang w:val="en-GB"/>
        </w:rPr>
        <w:t xml:space="preserve"> the principles </w:t>
      </w:r>
      <w:r w:rsidR="00BB7542" w:rsidRPr="00A351AB">
        <w:rPr>
          <w:rFonts w:ascii="Arial" w:hAnsi="Arial" w:cs="Arial"/>
          <w:lang w:val="en-GB"/>
        </w:rPr>
        <w:t>enshrined in</w:t>
      </w:r>
      <w:r w:rsidRPr="00A351AB">
        <w:rPr>
          <w:rFonts w:ascii="Arial" w:hAnsi="Arial" w:cs="Arial"/>
          <w:lang w:val="en-GB"/>
        </w:rPr>
        <w:t xml:space="preserve"> the </w:t>
      </w:r>
      <w:hyperlink r:id="rId18" w:history="1">
        <w:r w:rsidRPr="00A351AB">
          <w:rPr>
            <w:rStyle w:val="Hipervnculo"/>
            <w:rFonts w:ascii="Arial" w:hAnsi="Arial" w:cs="Arial"/>
            <w:lang w:val="en-GB"/>
          </w:rPr>
          <w:t>EAW Framework Decision</w:t>
        </w:r>
      </w:hyperlink>
      <w:r w:rsidRPr="00A351AB">
        <w:rPr>
          <w:rFonts w:ascii="Arial" w:hAnsi="Arial" w:cs="Arial"/>
          <w:lang w:val="en-GB"/>
        </w:rPr>
        <w:t xml:space="preserve"> </w:t>
      </w:r>
      <w:r w:rsidR="003901F9" w:rsidRPr="00A351AB">
        <w:rPr>
          <w:rFonts w:ascii="Arial" w:hAnsi="Arial" w:cs="Arial"/>
          <w:lang w:val="en-GB"/>
        </w:rPr>
        <w:t>are</w:t>
      </w:r>
      <w:r w:rsidRPr="00A351AB">
        <w:rPr>
          <w:rFonts w:ascii="Arial" w:hAnsi="Arial" w:cs="Arial"/>
          <w:lang w:val="en-GB"/>
        </w:rPr>
        <w:t xml:space="preserve"> </w:t>
      </w:r>
      <w:r w:rsidR="00C457A9">
        <w:rPr>
          <w:rFonts w:ascii="Arial" w:hAnsi="Arial" w:cs="Arial"/>
          <w:lang w:val="en-GB"/>
        </w:rPr>
        <w:t xml:space="preserve">still </w:t>
      </w:r>
      <w:r w:rsidR="00BB7542" w:rsidRPr="00A351AB">
        <w:rPr>
          <w:rFonts w:ascii="Arial" w:hAnsi="Arial" w:cs="Arial"/>
          <w:lang w:val="en-GB"/>
        </w:rPr>
        <w:t>applied</w:t>
      </w:r>
      <w:r w:rsidRPr="00A351AB">
        <w:rPr>
          <w:rFonts w:ascii="Arial" w:hAnsi="Arial" w:cs="Arial"/>
          <w:lang w:val="en-GB"/>
        </w:rPr>
        <w:t xml:space="preserve"> to the </w:t>
      </w:r>
      <w:r w:rsidR="00BB7542" w:rsidRPr="00A351AB">
        <w:rPr>
          <w:rFonts w:ascii="Arial" w:hAnsi="Arial" w:cs="Arial"/>
          <w:lang w:val="en-GB"/>
        </w:rPr>
        <w:t>UK</w:t>
      </w:r>
      <w:r w:rsidRPr="00A351AB">
        <w:rPr>
          <w:rFonts w:ascii="Arial" w:hAnsi="Arial" w:cs="Arial"/>
          <w:lang w:val="en-GB"/>
        </w:rPr>
        <w:t xml:space="preserve"> (§23).</w:t>
      </w:r>
      <w:r w:rsidR="003901F9" w:rsidRPr="00A351AB">
        <w:rPr>
          <w:rFonts w:ascii="Arial" w:hAnsi="Arial" w:cs="Arial"/>
          <w:lang w:val="en-GB"/>
        </w:rPr>
        <w:t xml:space="preserve"> The reference </w:t>
      </w:r>
      <w:r w:rsidR="00BB7542" w:rsidRPr="00A351AB">
        <w:rPr>
          <w:rFonts w:ascii="Arial" w:hAnsi="Arial" w:cs="Arial"/>
          <w:lang w:val="en-GB"/>
        </w:rPr>
        <w:t>detailed the</w:t>
      </w:r>
      <w:r w:rsidR="003901F9" w:rsidRPr="00A351AB">
        <w:rPr>
          <w:rFonts w:ascii="Arial" w:hAnsi="Arial" w:cs="Arial"/>
          <w:lang w:val="en-GB"/>
        </w:rPr>
        <w:t xml:space="preserve"> effect of Article 20A of the Order and </w:t>
      </w:r>
      <w:r w:rsidR="00BB7542" w:rsidRPr="00A351AB">
        <w:rPr>
          <w:rFonts w:ascii="Arial" w:hAnsi="Arial" w:cs="Arial"/>
          <w:lang w:val="en-GB"/>
        </w:rPr>
        <w:t>UKSC’s consideration</w:t>
      </w:r>
      <w:r w:rsidR="003901F9" w:rsidRPr="00A351AB">
        <w:rPr>
          <w:rFonts w:ascii="Arial" w:hAnsi="Arial" w:cs="Arial"/>
          <w:lang w:val="en-GB"/>
        </w:rPr>
        <w:t xml:space="preserve"> </w:t>
      </w:r>
      <w:r w:rsidR="00BB7542" w:rsidRPr="00A351AB">
        <w:rPr>
          <w:rFonts w:ascii="Arial" w:hAnsi="Arial" w:cs="Arial"/>
          <w:lang w:val="en-GB"/>
        </w:rPr>
        <w:t>thereof</w:t>
      </w:r>
      <w:r w:rsidR="003901F9" w:rsidRPr="00A351AB">
        <w:rPr>
          <w:rFonts w:ascii="Arial" w:hAnsi="Arial" w:cs="Arial"/>
          <w:lang w:val="en-GB"/>
        </w:rPr>
        <w:t xml:space="preserve"> (§§25-29) noting that the requested person’s </w:t>
      </w:r>
      <w:r w:rsidR="00BB7542" w:rsidRPr="00A351AB">
        <w:rPr>
          <w:rFonts w:ascii="Arial" w:hAnsi="Arial" w:cs="Arial"/>
          <w:lang w:val="en-GB"/>
        </w:rPr>
        <w:t xml:space="preserve">alleged </w:t>
      </w:r>
      <w:r w:rsidR="003901F9" w:rsidRPr="00A351AB">
        <w:rPr>
          <w:rFonts w:ascii="Arial" w:hAnsi="Arial" w:cs="Arial"/>
          <w:lang w:val="en-GB"/>
        </w:rPr>
        <w:t xml:space="preserve">acts took place before the statutory amendment. The </w:t>
      </w:r>
      <w:r w:rsidR="00BB7542" w:rsidRPr="00A351AB">
        <w:rPr>
          <w:rFonts w:ascii="Arial" w:hAnsi="Arial" w:cs="Arial"/>
          <w:lang w:val="en-GB"/>
        </w:rPr>
        <w:t>IESC</w:t>
      </w:r>
      <w:r w:rsidR="003901F9" w:rsidRPr="00A351AB">
        <w:rPr>
          <w:rFonts w:ascii="Arial" w:hAnsi="Arial" w:cs="Arial"/>
          <w:lang w:val="en-GB"/>
        </w:rPr>
        <w:t xml:space="preserve"> </w:t>
      </w:r>
      <w:r w:rsidR="0085105D">
        <w:rPr>
          <w:rFonts w:ascii="Arial" w:hAnsi="Arial" w:cs="Arial"/>
          <w:lang w:val="en-GB"/>
        </w:rPr>
        <w:t>considered that</w:t>
      </w:r>
      <w:r w:rsidR="003901F9" w:rsidRPr="00A351AB">
        <w:rPr>
          <w:rFonts w:ascii="Arial" w:hAnsi="Arial" w:cs="Arial"/>
          <w:lang w:val="en-GB"/>
        </w:rPr>
        <w:t xml:space="preserve"> </w:t>
      </w:r>
      <w:r w:rsidR="0085105D">
        <w:rPr>
          <w:rFonts w:ascii="Arial" w:hAnsi="Arial" w:cs="Arial"/>
          <w:lang w:val="en-GB"/>
        </w:rPr>
        <w:t>as</w:t>
      </w:r>
      <w:r w:rsidR="003901F9" w:rsidRPr="00A351AB">
        <w:rPr>
          <w:rFonts w:ascii="Arial" w:hAnsi="Arial" w:cs="Arial"/>
          <w:lang w:val="en-GB"/>
        </w:rPr>
        <w:t xml:space="preserve"> Article 52(3) of the Charter </w:t>
      </w:r>
      <w:r w:rsidR="003901F9" w:rsidRPr="00A351AB">
        <w:rPr>
          <w:rFonts w:ascii="Arial" w:hAnsi="Arial" w:cs="Arial"/>
          <w:lang w:val="en-GB"/>
        </w:rPr>
        <w:lastRenderedPageBreak/>
        <w:t>required that Charter rights</w:t>
      </w:r>
      <w:r w:rsidR="00BB7542" w:rsidRPr="00A351AB">
        <w:rPr>
          <w:rFonts w:ascii="Arial" w:hAnsi="Arial" w:cs="Arial"/>
          <w:lang w:val="en-GB"/>
        </w:rPr>
        <w:t>, including Article 49(1),</w:t>
      </w:r>
      <w:r w:rsidR="003901F9" w:rsidRPr="00A351AB">
        <w:rPr>
          <w:rFonts w:ascii="Arial" w:hAnsi="Arial" w:cs="Arial"/>
          <w:lang w:val="en-GB"/>
        </w:rPr>
        <w:t xml:space="preserve"> are </w:t>
      </w:r>
      <w:r w:rsidR="00BB7542" w:rsidRPr="00A351AB">
        <w:rPr>
          <w:rFonts w:ascii="Arial" w:hAnsi="Arial" w:cs="Arial"/>
          <w:lang w:val="en-GB"/>
        </w:rPr>
        <w:t>afforded</w:t>
      </w:r>
      <w:r w:rsidR="003901F9" w:rsidRPr="00A351AB">
        <w:rPr>
          <w:rFonts w:ascii="Arial" w:hAnsi="Arial" w:cs="Arial"/>
          <w:lang w:val="en-GB"/>
        </w:rPr>
        <w:t xml:space="preserve"> the same “</w:t>
      </w:r>
      <w:r w:rsidR="003901F9" w:rsidRPr="00A351AB">
        <w:rPr>
          <w:rFonts w:ascii="Arial" w:hAnsi="Arial" w:cs="Arial"/>
          <w:i/>
          <w:iCs/>
          <w:lang w:val="en-GB"/>
        </w:rPr>
        <w:t>meaning and scope</w:t>
      </w:r>
      <w:r w:rsidR="003901F9" w:rsidRPr="00A351AB">
        <w:rPr>
          <w:rFonts w:ascii="Arial" w:hAnsi="Arial" w:cs="Arial"/>
          <w:lang w:val="en-GB"/>
        </w:rPr>
        <w:t xml:space="preserve">” as </w:t>
      </w:r>
      <w:r w:rsidR="00BB7542" w:rsidRPr="00A351AB">
        <w:rPr>
          <w:rFonts w:ascii="Arial" w:hAnsi="Arial" w:cs="Arial"/>
          <w:lang w:val="en-GB"/>
        </w:rPr>
        <w:t xml:space="preserve">the corresponding </w:t>
      </w:r>
      <w:r w:rsidR="0085105D">
        <w:rPr>
          <w:rFonts w:ascii="Arial" w:hAnsi="Arial" w:cs="Arial"/>
          <w:lang w:val="en-GB"/>
        </w:rPr>
        <w:t>provisions</w:t>
      </w:r>
      <w:r w:rsidR="003901F9" w:rsidRPr="00A351AB">
        <w:rPr>
          <w:rFonts w:ascii="Arial" w:hAnsi="Arial" w:cs="Arial"/>
          <w:lang w:val="en-GB"/>
        </w:rPr>
        <w:t xml:space="preserve"> </w:t>
      </w:r>
      <w:r w:rsidR="0085105D">
        <w:rPr>
          <w:rFonts w:ascii="Arial" w:hAnsi="Arial" w:cs="Arial"/>
          <w:lang w:val="en-GB"/>
        </w:rPr>
        <w:t>of</w:t>
      </w:r>
      <w:r w:rsidR="003901F9" w:rsidRPr="00A351AB">
        <w:rPr>
          <w:rFonts w:ascii="Arial" w:hAnsi="Arial" w:cs="Arial"/>
          <w:lang w:val="en-GB"/>
        </w:rPr>
        <w:t xml:space="preserve"> the ECHR, </w:t>
      </w:r>
      <w:r w:rsidR="003901F9" w:rsidRPr="00C457A9">
        <w:rPr>
          <w:rFonts w:ascii="Arial" w:hAnsi="Arial" w:cs="Arial"/>
          <w:u w:val="single"/>
          <w:lang w:val="en-GB"/>
        </w:rPr>
        <w:t xml:space="preserve">it need not undertake any verification </w:t>
      </w:r>
      <w:r w:rsidR="0085105D" w:rsidRPr="00C457A9">
        <w:rPr>
          <w:rFonts w:ascii="Arial" w:hAnsi="Arial" w:cs="Arial"/>
          <w:u w:val="single"/>
          <w:lang w:val="en-GB"/>
        </w:rPr>
        <w:t>itself</w:t>
      </w:r>
      <w:r w:rsidR="0085105D">
        <w:rPr>
          <w:rFonts w:ascii="Arial" w:hAnsi="Arial" w:cs="Arial"/>
          <w:lang w:val="en-GB"/>
        </w:rPr>
        <w:t xml:space="preserve"> </w:t>
      </w:r>
      <w:r w:rsidR="003901F9" w:rsidRPr="00A351AB">
        <w:rPr>
          <w:rFonts w:ascii="Arial" w:hAnsi="Arial" w:cs="Arial"/>
          <w:lang w:val="en-GB"/>
        </w:rPr>
        <w:t>(§30).</w:t>
      </w:r>
    </w:p>
    <w:p w14:paraId="1D5592C6" w14:textId="77777777" w:rsidR="003901F9" w:rsidRPr="00A351AB" w:rsidRDefault="003901F9" w:rsidP="0036552D">
      <w:pPr>
        <w:spacing w:after="0" w:line="240" w:lineRule="auto"/>
        <w:jc w:val="both"/>
        <w:rPr>
          <w:rFonts w:ascii="Arial" w:hAnsi="Arial" w:cs="Arial"/>
          <w:lang w:val="en-GB"/>
        </w:rPr>
      </w:pPr>
    </w:p>
    <w:p w14:paraId="02153C45" w14:textId="316ED0FF" w:rsidR="00AB4B25" w:rsidRPr="00A351AB" w:rsidRDefault="003901F9" w:rsidP="0036552D">
      <w:pPr>
        <w:spacing w:after="0" w:line="240" w:lineRule="auto"/>
        <w:jc w:val="both"/>
        <w:rPr>
          <w:rFonts w:ascii="Arial" w:hAnsi="Arial" w:cs="Arial"/>
          <w:b/>
          <w:bCs/>
          <w:lang w:val="en-GB"/>
        </w:rPr>
      </w:pPr>
      <w:r w:rsidRPr="00A351AB">
        <w:rPr>
          <w:rFonts w:ascii="Arial" w:hAnsi="Arial" w:cs="Arial"/>
          <w:b/>
          <w:bCs/>
          <w:lang w:val="en-GB"/>
        </w:rPr>
        <w:t>The Grand Chamber’s judgment</w:t>
      </w:r>
    </w:p>
    <w:p w14:paraId="26981ED4" w14:textId="53D983D3" w:rsidR="00314742" w:rsidRPr="00A351AB" w:rsidRDefault="003901F9" w:rsidP="0036552D">
      <w:pPr>
        <w:spacing w:after="0" w:line="240" w:lineRule="auto"/>
        <w:jc w:val="both"/>
        <w:rPr>
          <w:rFonts w:ascii="Arial" w:hAnsi="Arial" w:cs="Arial"/>
          <w:lang w:val="en-GB"/>
        </w:rPr>
      </w:pPr>
      <w:r w:rsidRPr="00A351AB">
        <w:rPr>
          <w:rFonts w:ascii="Arial" w:hAnsi="Arial" w:cs="Arial"/>
          <w:lang w:val="en-GB"/>
        </w:rPr>
        <w:t xml:space="preserve">The CJEU emphasised that the EAW Framework Decision </w:t>
      </w:r>
      <w:r w:rsidR="00BB7542" w:rsidRPr="00A351AB">
        <w:rPr>
          <w:rFonts w:ascii="Arial" w:hAnsi="Arial" w:cs="Arial"/>
          <w:u w:val="single"/>
          <w:lang w:val="en-GB"/>
        </w:rPr>
        <w:t>did not apply</w:t>
      </w:r>
      <w:r w:rsidRPr="00A351AB">
        <w:rPr>
          <w:rFonts w:ascii="Arial" w:hAnsi="Arial" w:cs="Arial"/>
          <w:u w:val="single"/>
          <w:lang w:val="en-GB"/>
        </w:rPr>
        <w:t xml:space="preserve"> to TCA cases</w:t>
      </w:r>
      <w:r w:rsidRPr="00A351AB">
        <w:rPr>
          <w:rFonts w:ascii="Arial" w:hAnsi="Arial" w:cs="Arial"/>
          <w:lang w:val="en-GB"/>
        </w:rPr>
        <w:t xml:space="preserve"> (§36). </w:t>
      </w:r>
      <w:r w:rsidR="00314742" w:rsidRPr="00A351AB">
        <w:rPr>
          <w:rFonts w:ascii="Arial" w:hAnsi="Arial" w:cs="Arial"/>
          <w:lang w:val="en-GB"/>
        </w:rPr>
        <w:t>Instead,</w:t>
      </w:r>
      <w:r w:rsidRPr="00A351AB">
        <w:rPr>
          <w:rFonts w:ascii="Arial" w:hAnsi="Arial" w:cs="Arial"/>
          <w:lang w:val="en-GB"/>
        </w:rPr>
        <w:t xml:space="preserve"> </w:t>
      </w:r>
      <w:r w:rsidR="00314742" w:rsidRPr="00A351AB">
        <w:rPr>
          <w:rFonts w:ascii="Arial" w:hAnsi="Arial" w:cs="Arial"/>
          <w:lang w:val="en-GB"/>
        </w:rPr>
        <w:t>the TCA’s</w:t>
      </w:r>
      <w:r w:rsidRPr="00A351AB">
        <w:rPr>
          <w:rFonts w:ascii="Arial" w:hAnsi="Arial" w:cs="Arial"/>
          <w:lang w:val="en-GB"/>
        </w:rPr>
        <w:t xml:space="preserve"> introductory provisions (§39) </w:t>
      </w:r>
      <w:r w:rsidR="00314742" w:rsidRPr="00A351AB">
        <w:rPr>
          <w:rFonts w:ascii="Arial" w:hAnsi="Arial" w:cs="Arial"/>
          <w:lang w:val="en-GB"/>
        </w:rPr>
        <w:t>establish</w:t>
      </w:r>
      <w:r w:rsidRPr="00A351AB">
        <w:rPr>
          <w:rFonts w:ascii="Arial" w:hAnsi="Arial" w:cs="Arial"/>
          <w:lang w:val="en-GB"/>
        </w:rPr>
        <w:t xml:space="preserve"> that bilateral security cooperation </w:t>
      </w:r>
      <w:r w:rsidR="00314742" w:rsidRPr="00A351AB">
        <w:rPr>
          <w:rFonts w:ascii="Arial" w:hAnsi="Arial" w:cs="Arial"/>
          <w:lang w:val="en-GB"/>
        </w:rPr>
        <w:t xml:space="preserve">is a central pillar </w:t>
      </w:r>
      <w:r w:rsidR="0085105D">
        <w:rPr>
          <w:rFonts w:ascii="Arial" w:hAnsi="Arial" w:cs="Arial"/>
          <w:lang w:val="en-GB"/>
        </w:rPr>
        <w:t xml:space="preserve">of the </w:t>
      </w:r>
      <w:r w:rsidR="00C457A9">
        <w:rPr>
          <w:rFonts w:ascii="Arial" w:hAnsi="Arial" w:cs="Arial"/>
          <w:lang w:val="en-GB"/>
        </w:rPr>
        <w:t>post-Brexit</w:t>
      </w:r>
      <w:r w:rsidR="0085105D">
        <w:rPr>
          <w:rFonts w:ascii="Arial" w:hAnsi="Arial" w:cs="Arial"/>
          <w:lang w:val="en-GB"/>
        </w:rPr>
        <w:t xml:space="preserve"> relationship</w:t>
      </w:r>
      <w:r w:rsidR="003227AC" w:rsidRPr="00A351AB">
        <w:rPr>
          <w:rFonts w:ascii="Arial" w:hAnsi="Arial" w:cs="Arial"/>
          <w:lang w:val="en-GB"/>
        </w:rPr>
        <w:t xml:space="preserve"> (§§40-42) and that </w:t>
      </w:r>
      <w:r w:rsidR="00314742" w:rsidRPr="00A351AB">
        <w:rPr>
          <w:rFonts w:ascii="Arial" w:hAnsi="Arial" w:cs="Arial"/>
          <w:lang w:val="en-GB"/>
        </w:rPr>
        <w:t>the</w:t>
      </w:r>
      <w:r w:rsidR="003227AC" w:rsidRPr="00A351AB">
        <w:rPr>
          <w:rFonts w:ascii="Arial" w:hAnsi="Arial" w:cs="Arial"/>
          <w:lang w:val="en-GB"/>
        </w:rPr>
        <w:t xml:space="preserve"> Parties (the UK, the EU and </w:t>
      </w:r>
      <w:r w:rsidR="00314742" w:rsidRPr="00A351AB">
        <w:rPr>
          <w:rFonts w:ascii="Arial" w:hAnsi="Arial" w:cs="Arial"/>
          <w:lang w:val="en-GB"/>
        </w:rPr>
        <w:t>its</w:t>
      </w:r>
      <w:r w:rsidR="003227AC" w:rsidRPr="00A351AB">
        <w:rPr>
          <w:rFonts w:ascii="Arial" w:hAnsi="Arial" w:cs="Arial"/>
          <w:lang w:val="en-GB"/>
        </w:rPr>
        <w:t xml:space="preserve"> Member States) </w:t>
      </w:r>
      <w:r w:rsidR="0085105D">
        <w:rPr>
          <w:rFonts w:ascii="Arial" w:hAnsi="Arial" w:cs="Arial"/>
          <w:lang w:val="en-GB"/>
        </w:rPr>
        <w:t xml:space="preserve">had </w:t>
      </w:r>
      <w:r w:rsidR="003227AC" w:rsidRPr="00A351AB">
        <w:rPr>
          <w:rFonts w:ascii="Arial" w:hAnsi="Arial" w:cs="Arial"/>
          <w:lang w:val="en-GB"/>
        </w:rPr>
        <w:t>affirmed their “</w:t>
      </w:r>
      <w:r w:rsidR="003227AC" w:rsidRPr="00A351AB">
        <w:rPr>
          <w:rFonts w:ascii="Arial" w:hAnsi="Arial" w:cs="Arial"/>
          <w:i/>
          <w:iCs/>
          <w:lang w:val="en-GB"/>
        </w:rPr>
        <w:t>long-standing respect [for] […] democracy, the rule of law and the protection of fundamental rights and freedoms of individuals</w:t>
      </w:r>
      <w:r w:rsidR="003227AC" w:rsidRPr="00A351AB">
        <w:rPr>
          <w:rFonts w:ascii="Arial" w:hAnsi="Arial" w:cs="Arial"/>
          <w:lang w:val="en-GB"/>
        </w:rPr>
        <w:t>”</w:t>
      </w:r>
      <w:r w:rsidR="00C457A9">
        <w:rPr>
          <w:rFonts w:ascii="Arial" w:hAnsi="Arial" w:cs="Arial"/>
          <w:lang w:val="en-GB"/>
        </w:rPr>
        <w:t>. Each</w:t>
      </w:r>
      <w:r w:rsidR="0085105D">
        <w:rPr>
          <w:rFonts w:ascii="Arial" w:hAnsi="Arial" w:cs="Arial"/>
          <w:lang w:val="en-GB"/>
        </w:rPr>
        <w:t xml:space="preserve"> </w:t>
      </w:r>
      <w:r w:rsidR="003227AC" w:rsidRPr="00A351AB">
        <w:rPr>
          <w:rFonts w:ascii="Arial" w:hAnsi="Arial" w:cs="Arial"/>
          <w:lang w:val="en-GB"/>
        </w:rPr>
        <w:t xml:space="preserve">undertook to abide by the ECHR and </w:t>
      </w:r>
      <w:hyperlink r:id="rId19" w:history="1">
        <w:r w:rsidR="003227AC" w:rsidRPr="00A351AB">
          <w:rPr>
            <w:rStyle w:val="Hipervnculo"/>
            <w:rFonts w:ascii="Arial" w:hAnsi="Arial" w:cs="Arial"/>
            <w:lang w:val="en-GB"/>
          </w:rPr>
          <w:t>the Universal Declaration of Human Rights 1948</w:t>
        </w:r>
      </w:hyperlink>
      <w:r w:rsidR="003227AC" w:rsidRPr="00A351AB">
        <w:rPr>
          <w:rFonts w:ascii="Arial" w:hAnsi="Arial" w:cs="Arial"/>
          <w:lang w:val="en-GB"/>
        </w:rPr>
        <w:t xml:space="preserve"> and </w:t>
      </w:r>
      <w:r w:rsidR="0085105D">
        <w:rPr>
          <w:rFonts w:ascii="Arial" w:hAnsi="Arial" w:cs="Arial"/>
          <w:lang w:val="en-GB"/>
        </w:rPr>
        <w:t xml:space="preserve">to </w:t>
      </w:r>
      <w:r w:rsidR="003227AC" w:rsidRPr="00A351AB">
        <w:rPr>
          <w:rFonts w:ascii="Arial" w:hAnsi="Arial" w:cs="Arial"/>
          <w:lang w:val="en-GB"/>
        </w:rPr>
        <w:t>give effect to the “</w:t>
      </w:r>
      <w:r w:rsidR="003227AC" w:rsidRPr="00A351AB">
        <w:rPr>
          <w:rFonts w:ascii="Arial" w:hAnsi="Arial" w:cs="Arial"/>
          <w:i/>
          <w:iCs/>
          <w:lang w:val="en-GB"/>
        </w:rPr>
        <w:t>rights and freedoms</w:t>
      </w:r>
      <w:r w:rsidR="003227AC" w:rsidRPr="00A351AB">
        <w:rPr>
          <w:rFonts w:ascii="Arial" w:hAnsi="Arial" w:cs="Arial"/>
          <w:lang w:val="en-GB"/>
        </w:rPr>
        <w:t xml:space="preserve">” in their </w:t>
      </w:r>
      <w:r w:rsidR="00314742" w:rsidRPr="00A351AB">
        <w:rPr>
          <w:rFonts w:ascii="Arial" w:hAnsi="Arial" w:cs="Arial"/>
          <w:lang w:val="en-GB"/>
        </w:rPr>
        <w:t xml:space="preserve">respective </w:t>
      </w:r>
      <w:r w:rsidR="003227AC" w:rsidRPr="00A351AB">
        <w:rPr>
          <w:rFonts w:ascii="Arial" w:hAnsi="Arial" w:cs="Arial"/>
          <w:lang w:val="en-GB"/>
        </w:rPr>
        <w:t xml:space="preserve">legal orders (§42). </w:t>
      </w:r>
    </w:p>
    <w:p w14:paraId="15DFE915" w14:textId="77777777" w:rsidR="00314742" w:rsidRPr="00A351AB" w:rsidRDefault="00314742" w:rsidP="0036552D">
      <w:pPr>
        <w:spacing w:after="0" w:line="240" w:lineRule="auto"/>
        <w:jc w:val="both"/>
        <w:rPr>
          <w:rFonts w:ascii="Arial" w:hAnsi="Arial" w:cs="Arial"/>
          <w:lang w:val="en-GB"/>
        </w:rPr>
      </w:pPr>
    </w:p>
    <w:p w14:paraId="647FC630" w14:textId="465A13C1" w:rsidR="003227AC" w:rsidRPr="00A351AB" w:rsidRDefault="003227AC" w:rsidP="0036552D">
      <w:pPr>
        <w:spacing w:after="0" w:line="240" w:lineRule="auto"/>
        <w:jc w:val="both"/>
        <w:rPr>
          <w:rFonts w:ascii="Arial" w:hAnsi="Arial" w:cs="Arial"/>
          <w:lang w:val="en-GB"/>
        </w:rPr>
      </w:pPr>
      <w:r w:rsidRPr="00A351AB">
        <w:rPr>
          <w:rFonts w:ascii="Arial" w:hAnsi="Arial" w:cs="Arial"/>
          <w:lang w:val="en-GB"/>
        </w:rPr>
        <w:t xml:space="preserve">The Grand Chamber described the structure of the TCA surrender provisions (§§43-45) and </w:t>
      </w:r>
      <w:r w:rsidR="0085105D">
        <w:rPr>
          <w:rFonts w:ascii="Arial" w:hAnsi="Arial" w:cs="Arial"/>
          <w:lang w:val="en-GB"/>
        </w:rPr>
        <w:t>guided</w:t>
      </w:r>
      <w:r w:rsidRPr="00A351AB">
        <w:rPr>
          <w:rFonts w:ascii="Arial" w:hAnsi="Arial" w:cs="Arial"/>
          <w:lang w:val="en-GB"/>
        </w:rPr>
        <w:t xml:space="preserve"> that the EU Member States </w:t>
      </w:r>
      <w:r w:rsidR="00314742" w:rsidRPr="00A351AB">
        <w:rPr>
          <w:rFonts w:ascii="Arial" w:hAnsi="Arial" w:cs="Arial"/>
          <w:lang w:val="en-GB"/>
        </w:rPr>
        <w:t>may</w:t>
      </w:r>
      <w:r w:rsidRPr="00A351AB">
        <w:rPr>
          <w:rFonts w:ascii="Arial" w:hAnsi="Arial" w:cs="Arial"/>
          <w:lang w:val="en-GB"/>
        </w:rPr>
        <w:t xml:space="preserve"> only refuse execut</w:t>
      </w:r>
      <w:r w:rsidR="00314742" w:rsidRPr="00A351AB">
        <w:rPr>
          <w:rFonts w:ascii="Arial" w:hAnsi="Arial" w:cs="Arial"/>
          <w:lang w:val="en-GB"/>
        </w:rPr>
        <w:t>ion</w:t>
      </w:r>
      <w:r w:rsidR="0085105D">
        <w:rPr>
          <w:rFonts w:ascii="Arial" w:hAnsi="Arial" w:cs="Arial"/>
          <w:lang w:val="en-GB"/>
        </w:rPr>
        <w:t xml:space="preserve"> </w:t>
      </w:r>
      <w:r w:rsidR="00C457A9">
        <w:rPr>
          <w:rFonts w:ascii="Arial" w:hAnsi="Arial" w:cs="Arial"/>
          <w:lang w:val="en-GB"/>
        </w:rPr>
        <w:t>o</w:t>
      </w:r>
      <w:r w:rsidR="00C457A9">
        <w:rPr>
          <w:rFonts w:ascii="Arial" w:hAnsi="Arial" w:cs="Arial"/>
          <w:lang w:val="en-GB"/>
        </w:rPr>
        <w:t>f</w:t>
      </w:r>
      <w:r w:rsidR="00C457A9">
        <w:rPr>
          <w:rFonts w:ascii="Arial" w:hAnsi="Arial" w:cs="Arial"/>
          <w:lang w:val="en-GB"/>
        </w:rPr>
        <w:t xml:space="preserve"> </w:t>
      </w:r>
      <w:r w:rsidR="0085105D">
        <w:rPr>
          <w:rFonts w:ascii="Arial" w:hAnsi="Arial" w:cs="Arial"/>
          <w:lang w:val="en-GB"/>
        </w:rPr>
        <w:t>an Arrest warrant</w:t>
      </w:r>
      <w:r w:rsidRPr="00A351AB">
        <w:rPr>
          <w:rFonts w:ascii="Arial" w:hAnsi="Arial" w:cs="Arial"/>
          <w:lang w:val="en-GB"/>
        </w:rPr>
        <w:t xml:space="preserve"> based on </w:t>
      </w:r>
      <w:r w:rsidR="00314742" w:rsidRPr="00A351AB">
        <w:rPr>
          <w:rFonts w:ascii="Arial" w:hAnsi="Arial" w:cs="Arial"/>
          <w:lang w:val="en-GB"/>
        </w:rPr>
        <w:t>Articles 600-604</w:t>
      </w:r>
      <w:r w:rsidRPr="00A351AB">
        <w:rPr>
          <w:rFonts w:ascii="Arial" w:hAnsi="Arial" w:cs="Arial"/>
          <w:lang w:val="en-GB"/>
        </w:rPr>
        <w:t xml:space="preserve"> (§46)</w:t>
      </w:r>
      <w:r w:rsidR="00314742" w:rsidRPr="00A351AB">
        <w:rPr>
          <w:rFonts w:ascii="Arial" w:hAnsi="Arial" w:cs="Arial"/>
          <w:lang w:val="en-GB"/>
        </w:rPr>
        <w:t>. These are the mandatory grounds</w:t>
      </w:r>
      <w:r w:rsidR="0085105D">
        <w:rPr>
          <w:rFonts w:ascii="Arial" w:hAnsi="Arial" w:cs="Arial"/>
          <w:lang w:val="en-GB"/>
        </w:rPr>
        <w:t xml:space="preserve"> of refusal</w:t>
      </w:r>
      <w:r w:rsidR="00314742" w:rsidRPr="00A351AB">
        <w:rPr>
          <w:rFonts w:ascii="Arial" w:hAnsi="Arial" w:cs="Arial"/>
          <w:lang w:val="en-GB"/>
        </w:rPr>
        <w:t xml:space="preserve"> </w:t>
      </w:r>
      <w:r w:rsidRPr="00A351AB">
        <w:rPr>
          <w:rFonts w:ascii="Arial" w:hAnsi="Arial" w:cs="Arial"/>
          <w:lang w:val="en-GB"/>
        </w:rPr>
        <w:t>(Article 600</w:t>
      </w:r>
      <w:r w:rsidR="00314742" w:rsidRPr="00A351AB">
        <w:rPr>
          <w:rFonts w:ascii="Arial" w:hAnsi="Arial" w:cs="Arial"/>
          <w:lang w:val="en-GB"/>
        </w:rPr>
        <w:t>, which are the same as Article 3 of the EAW Framework Decision)</w:t>
      </w:r>
      <w:r w:rsidR="0085105D">
        <w:rPr>
          <w:rFonts w:ascii="Arial" w:hAnsi="Arial" w:cs="Arial"/>
          <w:lang w:val="en-GB"/>
        </w:rPr>
        <w:t>;</w:t>
      </w:r>
      <w:r w:rsidR="00314742" w:rsidRPr="00A351AB">
        <w:rPr>
          <w:rFonts w:ascii="Arial" w:hAnsi="Arial" w:cs="Arial"/>
          <w:lang w:val="en-GB"/>
        </w:rPr>
        <w:t xml:space="preserve"> the various optional grounds</w:t>
      </w:r>
      <w:r w:rsidR="0085105D">
        <w:rPr>
          <w:rFonts w:ascii="Arial" w:hAnsi="Arial" w:cs="Arial"/>
          <w:lang w:val="en-GB"/>
        </w:rPr>
        <w:t xml:space="preserve"> of refusal </w:t>
      </w:r>
      <w:r w:rsidR="00314742" w:rsidRPr="00A351AB">
        <w:rPr>
          <w:rFonts w:ascii="Arial" w:hAnsi="Arial" w:cs="Arial"/>
          <w:lang w:val="en-GB"/>
        </w:rPr>
        <w:t>(</w:t>
      </w:r>
      <w:r w:rsidRPr="00A351AB">
        <w:rPr>
          <w:rFonts w:ascii="Arial" w:hAnsi="Arial" w:cs="Arial"/>
          <w:lang w:val="en-GB"/>
        </w:rPr>
        <w:t>Article 601</w:t>
      </w:r>
      <w:r w:rsidR="00314742" w:rsidRPr="00A351AB">
        <w:rPr>
          <w:rFonts w:ascii="Arial" w:hAnsi="Arial" w:cs="Arial"/>
          <w:lang w:val="en-GB"/>
        </w:rPr>
        <w:t>, which mirrors Articles 4 and 4a of the EAW Framework Decision)</w:t>
      </w:r>
      <w:r w:rsidR="0085105D">
        <w:rPr>
          <w:rFonts w:ascii="Arial" w:hAnsi="Arial" w:cs="Arial"/>
          <w:lang w:val="en-GB"/>
        </w:rPr>
        <w:t>;</w:t>
      </w:r>
      <w:r w:rsidR="00314742" w:rsidRPr="00A351AB">
        <w:rPr>
          <w:rFonts w:ascii="Arial" w:hAnsi="Arial" w:cs="Arial"/>
          <w:lang w:val="en-GB"/>
        </w:rPr>
        <w:t xml:space="preserve"> the political offence exemption (</w:t>
      </w:r>
      <w:r w:rsidRPr="00A351AB">
        <w:rPr>
          <w:rFonts w:ascii="Arial" w:hAnsi="Arial" w:cs="Arial"/>
          <w:lang w:val="en-GB"/>
        </w:rPr>
        <w:t>Article 602</w:t>
      </w:r>
      <w:r w:rsidR="00314742" w:rsidRPr="00A351AB">
        <w:rPr>
          <w:rFonts w:ascii="Arial" w:hAnsi="Arial" w:cs="Arial"/>
          <w:lang w:val="en-GB"/>
        </w:rPr>
        <w:t>)</w:t>
      </w:r>
      <w:r w:rsidR="0085105D">
        <w:rPr>
          <w:rFonts w:ascii="Arial" w:hAnsi="Arial" w:cs="Arial"/>
          <w:lang w:val="en-GB"/>
        </w:rPr>
        <w:t>;</w:t>
      </w:r>
      <w:r w:rsidR="00314742" w:rsidRPr="00A351AB">
        <w:rPr>
          <w:rFonts w:ascii="Arial" w:hAnsi="Arial" w:cs="Arial"/>
          <w:lang w:val="en-GB"/>
        </w:rPr>
        <w:t xml:space="preserve"> the </w:t>
      </w:r>
      <w:r w:rsidRPr="00A351AB">
        <w:rPr>
          <w:rFonts w:ascii="Arial" w:hAnsi="Arial" w:cs="Arial"/>
          <w:lang w:val="en-GB"/>
        </w:rPr>
        <w:t>nationality exemption</w:t>
      </w:r>
      <w:r w:rsidR="00314742" w:rsidRPr="00A351AB">
        <w:rPr>
          <w:rFonts w:ascii="Arial" w:hAnsi="Arial" w:cs="Arial"/>
          <w:lang w:val="en-GB"/>
        </w:rPr>
        <w:t xml:space="preserve"> (Article 603)</w:t>
      </w:r>
      <w:r w:rsidR="0085105D">
        <w:rPr>
          <w:rFonts w:ascii="Arial" w:hAnsi="Arial" w:cs="Arial"/>
          <w:lang w:val="en-GB"/>
        </w:rPr>
        <w:t>;</w:t>
      </w:r>
      <w:r w:rsidR="00314742" w:rsidRPr="00A351AB">
        <w:rPr>
          <w:rFonts w:ascii="Arial" w:hAnsi="Arial" w:cs="Arial"/>
          <w:lang w:val="en-GB"/>
        </w:rPr>
        <w:t xml:space="preserve"> and the required guarantees in certain cases (</w:t>
      </w:r>
      <w:r w:rsidRPr="00A351AB">
        <w:rPr>
          <w:rFonts w:ascii="Arial" w:hAnsi="Arial" w:cs="Arial"/>
          <w:lang w:val="en-GB"/>
        </w:rPr>
        <w:t>Article 604</w:t>
      </w:r>
      <w:r w:rsidR="00314742" w:rsidRPr="00A351AB">
        <w:rPr>
          <w:rFonts w:ascii="Arial" w:hAnsi="Arial" w:cs="Arial"/>
          <w:lang w:val="en-GB"/>
        </w:rPr>
        <w:t>, which is based on Article 5 of the EAW Framework Decision</w:t>
      </w:r>
      <w:r w:rsidRPr="00A351AB">
        <w:rPr>
          <w:rFonts w:ascii="Arial" w:hAnsi="Arial" w:cs="Arial"/>
          <w:lang w:val="en-GB"/>
        </w:rPr>
        <w:t>)</w:t>
      </w:r>
      <w:r w:rsidR="00314742" w:rsidRPr="00A351AB">
        <w:rPr>
          <w:rFonts w:ascii="Arial" w:hAnsi="Arial" w:cs="Arial"/>
          <w:lang w:val="en-GB"/>
        </w:rPr>
        <w:t>. Otherwise,</w:t>
      </w:r>
      <w:r w:rsidRPr="00A351AB">
        <w:rPr>
          <w:rFonts w:ascii="Arial" w:hAnsi="Arial" w:cs="Arial"/>
          <w:lang w:val="en-GB"/>
        </w:rPr>
        <w:t xml:space="preserve"> an EU executing judicial authority must execute an Arrest warrant (§47)</w:t>
      </w:r>
      <w:r w:rsidR="001978AF">
        <w:rPr>
          <w:rFonts w:ascii="Arial" w:hAnsi="Arial" w:cs="Arial"/>
          <w:lang w:val="en-GB"/>
        </w:rPr>
        <w:t xml:space="preserve"> (notably there is no equivalent to Article 1(2) of the EAW Framework Decision in the TCA).</w:t>
      </w:r>
    </w:p>
    <w:p w14:paraId="67953002" w14:textId="77777777" w:rsidR="003227AC" w:rsidRPr="00A351AB" w:rsidRDefault="003227AC" w:rsidP="0036552D">
      <w:pPr>
        <w:spacing w:after="0" w:line="240" w:lineRule="auto"/>
        <w:jc w:val="both"/>
        <w:rPr>
          <w:rFonts w:ascii="Arial" w:hAnsi="Arial" w:cs="Arial"/>
          <w:lang w:val="en-GB"/>
        </w:rPr>
      </w:pPr>
    </w:p>
    <w:p w14:paraId="61FDBC02" w14:textId="7906B516" w:rsidR="003901F9" w:rsidRPr="00A351AB" w:rsidRDefault="003227AC" w:rsidP="0036552D">
      <w:pPr>
        <w:spacing w:after="0" w:line="240" w:lineRule="auto"/>
        <w:jc w:val="both"/>
        <w:rPr>
          <w:rFonts w:ascii="Arial" w:hAnsi="Arial" w:cs="Arial"/>
          <w:lang w:val="en-GB"/>
        </w:rPr>
      </w:pPr>
      <w:r w:rsidRPr="00A351AB">
        <w:rPr>
          <w:rFonts w:ascii="Arial" w:hAnsi="Arial" w:cs="Arial"/>
          <w:lang w:val="en-GB"/>
        </w:rPr>
        <w:t xml:space="preserve">The CJEU </w:t>
      </w:r>
      <w:r w:rsidR="00314742" w:rsidRPr="00A351AB">
        <w:rPr>
          <w:rFonts w:ascii="Arial" w:hAnsi="Arial" w:cs="Arial"/>
          <w:lang w:val="en-GB"/>
        </w:rPr>
        <w:t>observed</w:t>
      </w:r>
      <w:r w:rsidRPr="00A351AB">
        <w:rPr>
          <w:rFonts w:ascii="Arial" w:hAnsi="Arial" w:cs="Arial"/>
          <w:lang w:val="en-GB"/>
        </w:rPr>
        <w:t xml:space="preserve"> that Article 524 TCA requires EU Member States to ensure that surrender to the UK is compatible with the Charter</w:t>
      </w:r>
      <w:r w:rsidR="00B30F88" w:rsidRPr="00A351AB">
        <w:rPr>
          <w:rFonts w:ascii="Arial" w:hAnsi="Arial" w:cs="Arial"/>
          <w:lang w:val="en-GB"/>
        </w:rPr>
        <w:t xml:space="preserve"> (§49) and, in doing so, it was relevant that the UK was no longer </w:t>
      </w:r>
      <w:r w:rsidR="00314742" w:rsidRPr="00A351AB">
        <w:rPr>
          <w:rFonts w:ascii="Arial" w:hAnsi="Arial" w:cs="Arial"/>
          <w:lang w:val="en-GB"/>
        </w:rPr>
        <w:t>bound by it</w:t>
      </w:r>
      <w:r w:rsidR="00B30F88" w:rsidRPr="00A351AB">
        <w:rPr>
          <w:rFonts w:ascii="Arial" w:hAnsi="Arial" w:cs="Arial"/>
          <w:lang w:val="en-GB"/>
        </w:rPr>
        <w:t xml:space="preserve"> (</w:t>
      </w:r>
      <w:r w:rsidR="00B30F88" w:rsidRPr="00A351AB">
        <w:rPr>
          <w:rFonts w:ascii="Arial" w:hAnsi="Arial" w:cs="Arial"/>
          <w:i/>
          <w:iCs/>
          <w:lang w:val="en-GB"/>
        </w:rPr>
        <w:t>ibid</w:t>
      </w:r>
      <w:r w:rsidR="00B30F88" w:rsidRPr="00A351AB">
        <w:rPr>
          <w:rFonts w:ascii="Arial" w:hAnsi="Arial" w:cs="Arial"/>
          <w:lang w:val="en-GB"/>
        </w:rPr>
        <w:t xml:space="preserve">., see </w:t>
      </w:r>
      <w:hyperlink r:id="rId20" w:history="1">
        <w:r w:rsidR="00B30F88" w:rsidRPr="00A351AB">
          <w:rPr>
            <w:rStyle w:val="Hipervnculo"/>
            <w:rFonts w:ascii="Arial" w:hAnsi="Arial" w:cs="Arial"/>
            <w:lang w:val="en-GB"/>
          </w:rPr>
          <w:t>section 5(4) of the European Union (Withdrawal) Act 2018</w:t>
        </w:r>
      </w:hyperlink>
      <w:r w:rsidR="00B30F88" w:rsidRPr="00A351AB">
        <w:rPr>
          <w:rFonts w:ascii="Arial" w:hAnsi="Arial" w:cs="Arial"/>
          <w:lang w:val="en-GB"/>
        </w:rPr>
        <w:t xml:space="preserve">). </w:t>
      </w:r>
      <w:r w:rsidR="0085105D">
        <w:rPr>
          <w:rFonts w:ascii="Arial" w:hAnsi="Arial" w:cs="Arial"/>
          <w:lang w:val="en-GB"/>
        </w:rPr>
        <w:t>As such, the</w:t>
      </w:r>
      <w:r w:rsidR="00314742" w:rsidRPr="00A351AB">
        <w:rPr>
          <w:rFonts w:ascii="Arial" w:hAnsi="Arial" w:cs="Arial"/>
          <w:lang w:val="en-GB"/>
        </w:rPr>
        <w:t xml:space="preserve"> real</w:t>
      </w:r>
      <w:r w:rsidR="00B30F88" w:rsidRPr="00A351AB">
        <w:rPr>
          <w:rFonts w:ascii="Arial" w:hAnsi="Arial" w:cs="Arial"/>
          <w:lang w:val="en-GB"/>
        </w:rPr>
        <w:t xml:space="preserve"> risk of a breach of a Charter right is sufficient to enable a refusal </w:t>
      </w:r>
      <w:r w:rsidR="001978AF">
        <w:rPr>
          <w:rFonts w:ascii="Arial" w:hAnsi="Arial" w:cs="Arial"/>
          <w:lang w:val="en-GB"/>
        </w:rPr>
        <w:t>of surrender to the UK</w:t>
      </w:r>
      <w:r w:rsidR="001978AF" w:rsidRPr="00A351AB">
        <w:rPr>
          <w:rFonts w:ascii="Arial" w:hAnsi="Arial" w:cs="Arial"/>
          <w:lang w:val="en-GB"/>
        </w:rPr>
        <w:t xml:space="preserve"> </w:t>
      </w:r>
      <w:r w:rsidR="00B30F88" w:rsidRPr="00A351AB">
        <w:rPr>
          <w:rFonts w:ascii="Arial" w:hAnsi="Arial" w:cs="Arial"/>
          <w:lang w:val="en-GB"/>
        </w:rPr>
        <w:t xml:space="preserve">(§51). </w:t>
      </w:r>
    </w:p>
    <w:p w14:paraId="11B2035A" w14:textId="77777777" w:rsidR="00B30F88" w:rsidRPr="00A351AB" w:rsidRDefault="00B30F88" w:rsidP="0036552D">
      <w:pPr>
        <w:spacing w:after="0" w:line="240" w:lineRule="auto"/>
        <w:jc w:val="both"/>
        <w:rPr>
          <w:rFonts w:ascii="Arial" w:hAnsi="Arial" w:cs="Arial"/>
          <w:lang w:val="en-GB"/>
        </w:rPr>
      </w:pPr>
    </w:p>
    <w:p w14:paraId="5B4C3167" w14:textId="03B72D70" w:rsidR="00314742" w:rsidRPr="00A351AB" w:rsidRDefault="00B30F88" w:rsidP="0036552D">
      <w:pPr>
        <w:spacing w:after="0" w:line="240" w:lineRule="auto"/>
        <w:jc w:val="both"/>
        <w:rPr>
          <w:rFonts w:ascii="Arial" w:hAnsi="Arial" w:cs="Arial"/>
          <w:lang w:val="en-GB"/>
        </w:rPr>
      </w:pPr>
      <w:r w:rsidRPr="00A351AB">
        <w:rPr>
          <w:rFonts w:ascii="Arial" w:hAnsi="Arial" w:cs="Arial"/>
          <w:lang w:val="en-GB"/>
        </w:rPr>
        <w:t xml:space="preserve">The Grand Chamber </w:t>
      </w:r>
      <w:r w:rsidR="0085105D">
        <w:rPr>
          <w:rFonts w:ascii="Arial" w:hAnsi="Arial" w:cs="Arial"/>
          <w:lang w:val="en-GB"/>
        </w:rPr>
        <w:t>turned to</w:t>
      </w:r>
      <w:r w:rsidRPr="00A351AB">
        <w:rPr>
          <w:rFonts w:ascii="Arial" w:hAnsi="Arial" w:cs="Arial"/>
          <w:lang w:val="en-GB"/>
        </w:rPr>
        <w:t xml:space="preserve"> its case-law on the EAW Framework Decision </w:t>
      </w:r>
      <w:r w:rsidR="0085105D">
        <w:rPr>
          <w:rFonts w:ascii="Arial" w:hAnsi="Arial" w:cs="Arial"/>
          <w:lang w:val="en-GB"/>
        </w:rPr>
        <w:t>which requires</w:t>
      </w:r>
      <w:r w:rsidRPr="00A351AB">
        <w:rPr>
          <w:rFonts w:ascii="Arial" w:hAnsi="Arial" w:cs="Arial"/>
          <w:lang w:val="en-GB"/>
        </w:rPr>
        <w:t xml:space="preserve"> a two-step analysis</w:t>
      </w:r>
      <w:r w:rsidR="00314742" w:rsidRPr="00A351AB">
        <w:rPr>
          <w:rFonts w:ascii="Arial" w:hAnsi="Arial" w:cs="Arial"/>
          <w:lang w:val="en-GB"/>
        </w:rPr>
        <w:t xml:space="preserve"> </w:t>
      </w:r>
      <w:r w:rsidR="0085105D">
        <w:rPr>
          <w:rFonts w:ascii="Arial" w:hAnsi="Arial" w:cs="Arial"/>
          <w:lang w:val="en-GB"/>
        </w:rPr>
        <w:t>of the risk of Charter</w:t>
      </w:r>
      <w:r w:rsidR="00314742" w:rsidRPr="00A351AB">
        <w:rPr>
          <w:rFonts w:ascii="Arial" w:hAnsi="Arial" w:cs="Arial"/>
          <w:lang w:val="en-GB"/>
        </w:rPr>
        <w:t xml:space="preserve"> breach</w:t>
      </w:r>
      <w:r w:rsidR="0085105D">
        <w:rPr>
          <w:rFonts w:ascii="Arial" w:hAnsi="Arial" w:cs="Arial"/>
          <w:lang w:val="en-GB"/>
        </w:rPr>
        <w:t xml:space="preserve"> </w:t>
      </w:r>
      <w:r w:rsidR="0085105D" w:rsidRPr="0085105D">
        <w:rPr>
          <w:rFonts w:ascii="Arial" w:hAnsi="Arial" w:cs="Arial"/>
          <w:u w:val="single"/>
          <w:lang w:val="en-GB"/>
        </w:rPr>
        <w:t>before</w:t>
      </w:r>
      <w:r w:rsidR="0085105D">
        <w:rPr>
          <w:rFonts w:ascii="Arial" w:hAnsi="Arial" w:cs="Arial"/>
          <w:lang w:val="en-GB"/>
        </w:rPr>
        <w:t xml:space="preserve"> obtaining supplementary information from the issuing Member State</w:t>
      </w:r>
      <w:r w:rsidRPr="00A351AB">
        <w:rPr>
          <w:rFonts w:ascii="Arial" w:hAnsi="Arial" w:cs="Arial"/>
          <w:lang w:val="en-GB"/>
        </w:rPr>
        <w:t xml:space="preserve">. This followed its seminal decision in </w:t>
      </w:r>
      <w:hyperlink r:id="rId21" w:history="1">
        <w:r w:rsidRPr="00A351AB">
          <w:rPr>
            <w:rStyle w:val="Hipervnculo"/>
            <w:rFonts w:ascii="Arial" w:hAnsi="Arial" w:cs="Arial"/>
            <w:b/>
            <w:bCs/>
            <w:i/>
            <w:iCs/>
            <w:shd w:val="clear" w:color="auto" w:fill="FFFFFF"/>
            <w:lang w:val="en-GB"/>
          </w:rPr>
          <w:t>Pál Aranyosi</w:t>
        </w:r>
        <w:r w:rsidRPr="00A351AB">
          <w:rPr>
            <w:rStyle w:val="Hipervnculo"/>
            <w:rFonts w:ascii="Arial" w:hAnsi="Arial" w:cs="Arial"/>
            <w:b/>
            <w:bCs/>
            <w:shd w:val="clear" w:color="auto" w:fill="FFFFFF"/>
            <w:lang w:val="en-GB"/>
          </w:rPr>
          <w:t xml:space="preserve"> </w:t>
        </w:r>
        <w:r w:rsidRPr="00A351AB">
          <w:rPr>
            <w:rStyle w:val="Hipervnculo"/>
            <w:rFonts w:ascii="Arial" w:hAnsi="Arial" w:cs="Arial"/>
            <w:shd w:val="clear" w:color="auto" w:fill="FFFFFF"/>
            <w:lang w:val="en-GB"/>
          </w:rPr>
          <w:t>(C-404/15)</w:t>
        </w:r>
      </w:hyperlink>
      <w:r w:rsidRPr="00A351AB">
        <w:rPr>
          <w:rFonts w:ascii="Arial" w:hAnsi="Arial" w:cs="Arial"/>
          <w:b/>
          <w:bCs/>
          <w:color w:val="333333"/>
          <w:shd w:val="clear" w:color="auto" w:fill="FFFFFF"/>
          <w:lang w:val="en-GB"/>
        </w:rPr>
        <w:t xml:space="preserve"> </w:t>
      </w:r>
      <w:r w:rsidRPr="00A351AB">
        <w:rPr>
          <w:rFonts w:ascii="Arial" w:hAnsi="Arial" w:cs="Arial"/>
          <w:color w:val="333333"/>
          <w:shd w:val="clear" w:color="auto" w:fill="FFFFFF"/>
          <w:lang w:val="en-GB"/>
        </w:rPr>
        <w:t xml:space="preserve">and </w:t>
      </w:r>
      <w:hyperlink r:id="rId22" w:history="1">
        <w:r w:rsidRPr="00A351AB">
          <w:rPr>
            <w:rStyle w:val="Hipervnculo"/>
            <w:rFonts w:ascii="Arial" w:hAnsi="Arial" w:cs="Arial"/>
            <w:b/>
            <w:bCs/>
            <w:i/>
            <w:iCs/>
            <w:lang w:val="en-GB"/>
          </w:rPr>
          <w:t xml:space="preserve">Robert </w:t>
        </w:r>
        <w:proofErr w:type="spellStart"/>
        <w:r w:rsidRPr="00A351AB">
          <w:rPr>
            <w:rStyle w:val="Hipervnculo"/>
            <w:rFonts w:ascii="Arial" w:hAnsi="Arial" w:cs="Arial"/>
            <w:b/>
            <w:bCs/>
            <w:i/>
            <w:iCs/>
            <w:lang w:val="en-GB"/>
          </w:rPr>
          <w:t>Căldăraru</w:t>
        </w:r>
        <w:proofErr w:type="spellEnd"/>
        <w:r w:rsidRPr="00A351AB">
          <w:rPr>
            <w:rStyle w:val="Hipervnculo"/>
            <w:rFonts w:ascii="Arial" w:hAnsi="Arial" w:cs="Arial"/>
            <w:shd w:val="clear" w:color="auto" w:fill="FFFFFF"/>
            <w:lang w:val="en-GB"/>
          </w:rPr>
          <w:t xml:space="preserve"> (C-659/15 PPU) ECLI:EU:2016:198</w:t>
        </w:r>
      </w:hyperlink>
      <w:r w:rsidRPr="00A351AB">
        <w:rPr>
          <w:rStyle w:val="apple-converted-space"/>
          <w:rFonts w:ascii="Arial" w:hAnsi="Arial" w:cs="Arial"/>
          <w:color w:val="333333"/>
          <w:shd w:val="clear" w:color="auto" w:fill="FFFFFF"/>
          <w:lang w:val="en-GB"/>
        </w:rPr>
        <w:t xml:space="preserve"> in relation to prison conditions, and </w:t>
      </w:r>
      <w:r w:rsidR="0085105D">
        <w:rPr>
          <w:rStyle w:val="apple-converted-space"/>
          <w:rFonts w:ascii="Arial" w:hAnsi="Arial" w:cs="Arial"/>
          <w:color w:val="333333"/>
          <w:shd w:val="clear" w:color="auto" w:fill="FFFFFF"/>
          <w:lang w:val="en-GB"/>
        </w:rPr>
        <w:t xml:space="preserve">as </w:t>
      </w:r>
      <w:r w:rsidRPr="00A351AB">
        <w:rPr>
          <w:rStyle w:val="apple-converted-space"/>
          <w:rFonts w:ascii="Arial" w:hAnsi="Arial" w:cs="Arial"/>
          <w:color w:val="333333"/>
          <w:shd w:val="clear" w:color="auto" w:fill="FFFFFF"/>
          <w:lang w:val="en-GB"/>
        </w:rPr>
        <w:t>confirmed in the judicial independence cases (</w:t>
      </w:r>
      <w:hyperlink r:id="rId23" w:history="1">
        <w:r w:rsidRPr="00A351AB">
          <w:rPr>
            <w:rStyle w:val="Hipervnculo"/>
            <w:rFonts w:ascii="Arial" w:hAnsi="Arial" w:cs="Arial"/>
            <w:b/>
            <w:bCs/>
            <w:i/>
            <w:iCs/>
            <w:lang w:val="en-GB"/>
          </w:rPr>
          <w:t>Minister for Justice and Equality (Deficiencies in the system of justice</w:t>
        </w:r>
        <w:r w:rsidRPr="00A351AB">
          <w:rPr>
            <w:rStyle w:val="Hipervnculo"/>
            <w:rFonts w:ascii="Arial" w:hAnsi="Arial" w:cs="Arial"/>
            <w:lang w:val="en-GB"/>
          </w:rPr>
          <w:t>), C</w:t>
        </w:r>
        <w:r w:rsidRPr="00A351AB">
          <w:rPr>
            <w:rStyle w:val="Hipervnculo"/>
            <w:rFonts w:ascii="Arial" w:hAnsi="Arial" w:cs="Arial"/>
            <w:lang w:val="en-GB"/>
          </w:rPr>
          <w:noBreakHyphen/>
          <w:t>216/18 PPU ECLI:EU:C:2018:586</w:t>
        </w:r>
      </w:hyperlink>
      <w:r w:rsidRPr="00A351AB">
        <w:rPr>
          <w:rFonts w:ascii="Arial" w:hAnsi="Arial" w:cs="Arial"/>
          <w:lang w:val="en-GB"/>
        </w:rPr>
        <w:t>) and the “other” human rights cases (e.g</w:t>
      </w:r>
      <w:hyperlink r:id="rId24" w:history="1">
        <w:r w:rsidRPr="00A351AB">
          <w:rPr>
            <w:rStyle w:val="Hipervnculo"/>
            <w:rFonts w:ascii="Arial" w:hAnsi="Arial" w:cs="Arial"/>
            <w:lang w:val="en-GB"/>
          </w:rPr>
          <w:t xml:space="preserve">., </w:t>
        </w:r>
        <w:r w:rsidRPr="00A351AB">
          <w:rPr>
            <w:rStyle w:val="Hipervnculo"/>
            <w:rFonts w:ascii="Open Sans" w:hAnsi="Open Sans" w:cs="Open Sans"/>
            <w:sz w:val="18"/>
            <w:szCs w:val="18"/>
            <w:lang w:val="en-GB"/>
          </w:rPr>
          <w:t> </w:t>
        </w:r>
        <w:r w:rsidRPr="00A351AB">
          <w:rPr>
            <w:rStyle w:val="Hipervnculo"/>
            <w:rFonts w:ascii="Arial" w:hAnsi="Arial" w:cs="Arial"/>
            <w:b/>
            <w:bCs/>
            <w:i/>
            <w:iCs/>
            <w:lang w:val="en-GB"/>
          </w:rPr>
          <w:t>E.D.L. (Ground for refusal based on illness)</w:t>
        </w:r>
        <w:r w:rsidRPr="00A351AB">
          <w:rPr>
            <w:rStyle w:val="Hipervnculo"/>
            <w:rFonts w:ascii="Arial" w:hAnsi="Arial" w:cs="Arial"/>
            <w:lang w:val="en-GB"/>
          </w:rPr>
          <w:t>, C</w:t>
        </w:r>
        <w:r w:rsidRPr="00A351AB">
          <w:rPr>
            <w:rStyle w:val="Hipervnculo"/>
            <w:rFonts w:ascii="Arial" w:hAnsi="Arial" w:cs="Arial"/>
            <w:lang w:val="en-GB"/>
          </w:rPr>
          <w:noBreakHyphen/>
          <w:t>699/21 EU:C:2023:295</w:t>
        </w:r>
      </w:hyperlink>
      <w:r w:rsidRPr="00A351AB">
        <w:rPr>
          <w:rFonts w:ascii="Arial" w:hAnsi="Arial" w:cs="Arial"/>
          <w:lang w:val="en-GB"/>
        </w:rPr>
        <w:t xml:space="preserve">). </w:t>
      </w:r>
    </w:p>
    <w:p w14:paraId="733456A7" w14:textId="77777777" w:rsidR="00C26CCA" w:rsidRPr="00A351AB" w:rsidRDefault="00C26CCA" w:rsidP="0036552D">
      <w:pPr>
        <w:spacing w:after="0" w:line="240" w:lineRule="auto"/>
        <w:jc w:val="both"/>
        <w:rPr>
          <w:rFonts w:ascii="Arial" w:hAnsi="Arial" w:cs="Arial"/>
          <w:lang w:val="en-GB"/>
        </w:rPr>
      </w:pPr>
    </w:p>
    <w:p w14:paraId="242B201C" w14:textId="2F361AE6" w:rsidR="00C26CCA" w:rsidRPr="00A351AB" w:rsidRDefault="00C26CCA" w:rsidP="0036552D">
      <w:pPr>
        <w:spacing w:after="0" w:line="240" w:lineRule="auto"/>
        <w:jc w:val="both"/>
        <w:rPr>
          <w:rFonts w:ascii="Arial" w:hAnsi="Arial" w:cs="Arial"/>
          <w:lang w:val="en-GB"/>
        </w:rPr>
      </w:pPr>
      <w:r w:rsidRPr="00A351AB">
        <w:rPr>
          <w:rFonts w:ascii="Arial" w:hAnsi="Arial" w:cs="Arial"/>
          <w:lang w:val="en-GB"/>
        </w:rPr>
        <w:t xml:space="preserve">The CJEU held that this analysis could </w:t>
      </w:r>
      <w:r w:rsidRPr="00A351AB">
        <w:rPr>
          <w:rFonts w:ascii="Arial" w:hAnsi="Arial" w:cs="Arial"/>
          <w:u w:val="single"/>
          <w:lang w:val="en-GB"/>
        </w:rPr>
        <w:t>not</w:t>
      </w:r>
      <w:r w:rsidRPr="00A351AB">
        <w:rPr>
          <w:rFonts w:ascii="Arial" w:hAnsi="Arial" w:cs="Arial"/>
          <w:lang w:val="en-GB"/>
        </w:rPr>
        <w:t xml:space="preserve"> be transposed to the TCA (§55). </w:t>
      </w:r>
      <w:r w:rsidR="00314742" w:rsidRPr="00A351AB">
        <w:rPr>
          <w:rFonts w:ascii="Arial" w:hAnsi="Arial" w:cs="Arial"/>
          <w:lang w:val="en-GB"/>
        </w:rPr>
        <w:t>This was because the</w:t>
      </w:r>
      <w:r w:rsidRPr="00A351AB">
        <w:rPr>
          <w:rFonts w:ascii="Arial" w:hAnsi="Arial" w:cs="Arial"/>
          <w:lang w:val="en-GB"/>
        </w:rPr>
        <w:t xml:space="preserve"> EAW Framework Decision relies on </w:t>
      </w:r>
      <w:r w:rsidR="00314742" w:rsidRPr="00A351AB">
        <w:rPr>
          <w:rFonts w:ascii="Arial" w:hAnsi="Arial" w:cs="Arial"/>
          <w:lang w:val="en-GB"/>
        </w:rPr>
        <w:t>a</w:t>
      </w:r>
      <w:r w:rsidRPr="00A351AB">
        <w:rPr>
          <w:rFonts w:ascii="Arial" w:hAnsi="Arial" w:cs="Arial"/>
          <w:lang w:val="en-GB"/>
        </w:rPr>
        <w:t xml:space="preserve"> “</w:t>
      </w:r>
      <w:r w:rsidRPr="00A351AB">
        <w:rPr>
          <w:rFonts w:ascii="Arial" w:hAnsi="Arial" w:cs="Arial"/>
          <w:i/>
          <w:iCs/>
          <w:lang w:val="en-GB"/>
        </w:rPr>
        <w:t>high level of trust which must exist between the Member States and on the principle of mutual recognition which […] constitutes the ‘cornerstone’ of judicial cooperation between Member States in criminal matters</w:t>
      </w:r>
      <w:r w:rsidRPr="00A351AB">
        <w:rPr>
          <w:rFonts w:ascii="Arial" w:hAnsi="Arial" w:cs="Arial"/>
          <w:lang w:val="en-GB"/>
        </w:rPr>
        <w:t>” (§56). This is integral to the area of freedom, security and justice which requires all EU Member States to consider “</w:t>
      </w:r>
      <w:r w:rsidRPr="00A351AB">
        <w:rPr>
          <w:rFonts w:ascii="Arial" w:hAnsi="Arial" w:cs="Arial"/>
          <w:i/>
          <w:iCs/>
          <w:lang w:val="en-GB"/>
        </w:rPr>
        <w:t xml:space="preserve">save in exceptional circumstances, […] </w:t>
      </w:r>
      <w:r w:rsidR="00B03876">
        <w:rPr>
          <w:rFonts w:ascii="Arial" w:hAnsi="Arial" w:cs="Arial"/>
          <w:i/>
          <w:iCs/>
          <w:lang w:val="en-GB"/>
        </w:rPr>
        <w:t xml:space="preserve">[that] </w:t>
      </w:r>
      <w:r w:rsidRPr="00A351AB">
        <w:rPr>
          <w:rFonts w:ascii="Arial" w:hAnsi="Arial" w:cs="Arial"/>
          <w:i/>
          <w:iCs/>
          <w:lang w:val="en-GB"/>
        </w:rPr>
        <w:t xml:space="preserve">all the other Member States </w:t>
      </w:r>
      <w:r w:rsidR="00B03876">
        <w:rPr>
          <w:rFonts w:ascii="Arial" w:hAnsi="Arial" w:cs="Arial"/>
          <w:i/>
          <w:iCs/>
          <w:lang w:val="en-GB"/>
        </w:rPr>
        <w:t>[are]</w:t>
      </w:r>
      <w:r w:rsidRPr="00A351AB">
        <w:rPr>
          <w:rFonts w:ascii="Arial" w:hAnsi="Arial" w:cs="Arial"/>
          <w:i/>
          <w:iCs/>
          <w:lang w:val="en-GB"/>
        </w:rPr>
        <w:t xml:space="preserve"> complying with EU law and particularly with the fundamental rights recognised by EU law</w:t>
      </w:r>
      <w:r w:rsidRPr="00A351AB">
        <w:rPr>
          <w:rFonts w:ascii="Arial" w:hAnsi="Arial" w:cs="Arial"/>
          <w:lang w:val="en-GB"/>
        </w:rPr>
        <w:t xml:space="preserve">” (§57). This creates a presumption of compliance </w:t>
      </w:r>
      <w:r w:rsidR="001978AF">
        <w:rPr>
          <w:rFonts w:ascii="Arial" w:hAnsi="Arial" w:cs="Arial"/>
          <w:lang w:val="en-GB"/>
        </w:rPr>
        <w:t xml:space="preserve">with EU law </w:t>
      </w:r>
      <w:r w:rsidRPr="00A351AB">
        <w:rPr>
          <w:rFonts w:ascii="Arial" w:hAnsi="Arial" w:cs="Arial"/>
          <w:lang w:val="en-GB"/>
        </w:rPr>
        <w:t>and a prohibition, “</w:t>
      </w:r>
      <w:r w:rsidRPr="00A351AB">
        <w:rPr>
          <w:rFonts w:ascii="Arial" w:hAnsi="Arial" w:cs="Arial"/>
          <w:i/>
          <w:iCs/>
          <w:lang w:val="en-GB"/>
        </w:rPr>
        <w:t>save in exceptional circumstances</w:t>
      </w:r>
      <w:r w:rsidRPr="00A351AB">
        <w:rPr>
          <w:rFonts w:ascii="Arial" w:hAnsi="Arial" w:cs="Arial"/>
          <w:lang w:val="en-GB"/>
        </w:rPr>
        <w:t xml:space="preserve">”, of verification of the same (§58). </w:t>
      </w:r>
      <w:r w:rsidR="00314742" w:rsidRPr="00A351AB">
        <w:rPr>
          <w:rFonts w:ascii="Arial" w:hAnsi="Arial" w:cs="Arial"/>
          <w:lang w:val="en-GB"/>
        </w:rPr>
        <w:t>The</w:t>
      </w:r>
      <w:r w:rsidRPr="00A351AB">
        <w:rPr>
          <w:rFonts w:ascii="Arial" w:hAnsi="Arial" w:cs="Arial"/>
          <w:lang w:val="en-GB"/>
        </w:rPr>
        <w:t xml:space="preserve"> “logic” </w:t>
      </w:r>
      <w:r w:rsidR="00B03876" w:rsidRPr="00A351AB">
        <w:rPr>
          <w:rFonts w:ascii="Arial" w:hAnsi="Arial" w:cs="Arial"/>
          <w:lang w:val="en-GB"/>
        </w:rPr>
        <w:t>stems</w:t>
      </w:r>
      <w:r w:rsidRPr="00A351AB">
        <w:rPr>
          <w:rFonts w:ascii="Arial" w:hAnsi="Arial" w:cs="Arial"/>
          <w:lang w:val="en-GB"/>
        </w:rPr>
        <w:t xml:space="preserve"> from the </w:t>
      </w:r>
      <w:r w:rsidR="00314742" w:rsidRPr="00A351AB">
        <w:rPr>
          <w:rFonts w:ascii="Arial" w:hAnsi="Arial" w:cs="Arial"/>
          <w:lang w:val="en-GB"/>
        </w:rPr>
        <w:t xml:space="preserve">Union’s core </w:t>
      </w:r>
      <w:r w:rsidRPr="00A351AB">
        <w:rPr>
          <w:rFonts w:ascii="Arial" w:hAnsi="Arial" w:cs="Arial"/>
          <w:lang w:val="en-GB"/>
        </w:rPr>
        <w:t>values</w:t>
      </w:r>
      <w:r w:rsidR="00314742" w:rsidRPr="00A351AB">
        <w:rPr>
          <w:rFonts w:ascii="Arial" w:hAnsi="Arial" w:cs="Arial"/>
          <w:lang w:val="en-GB"/>
        </w:rPr>
        <w:t xml:space="preserve">, </w:t>
      </w:r>
      <w:r w:rsidR="001978AF">
        <w:rPr>
          <w:rFonts w:ascii="Arial" w:hAnsi="Arial" w:cs="Arial"/>
          <w:lang w:val="en-GB"/>
        </w:rPr>
        <w:t xml:space="preserve">as </w:t>
      </w:r>
      <w:r w:rsidRPr="00A351AB">
        <w:rPr>
          <w:rFonts w:ascii="Arial" w:hAnsi="Arial" w:cs="Arial"/>
          <w:lang w:val="en-GB"/>
        </w:rPr>
        <w:lastRenderedPageBreak/>
        <w:t xml:space="preserve">conferred in </w:t>
      </w:r>
      <w:hyperlink r:id="rId25" w:history="1">
        <w:r w:rsidRPr="00A351AB">
          <w:rPr>
            <w:rStyle w:val="Hipervnculo"/>
            <w:rFonts w:ascii="Arial" w:hAnsi="Arial" w:cs="Arial"/>
            <w:lang w:val="en-GB"/>
          </w:rPr>
          <w:t>Article 2 TEU</w:t>
        </w:r>
      </w:hyperlink>
      <w:r w:rsidR="00314742" w:rsidRPr="00A351AB">
        <w:rPr>
          <w:rFonts w:ascii="Arial" w:hAnsi="Arial" w:cs="Arial"/>
          <w:lang w:val="en-GB"/>
        </w:rPr>
        <w:t>,</w:t>
      </w:r>
      <w:r w:rsidRPr="00A351AB">
        <w:rPr>
          <w:rFonts w:ascii="Arial" w:hAnsi="Arial" w:cs="Arial"/>
          <w:lang w:val="en-GB"/>
        </w:rPr>
        <w:t xml:space="preserve"> and serves as the justification for </w:t>
      </w:r>
      <w:r w:rsidR="00314742" w:rsidRPr="00A351AB">
        <w:rPr>
          <w:rFonts w:ascii="Arial" w:hAnsi="Arial" w:cs="Arial"/>
          <w:lang w:val="en-GB"/>
        </w:rPr>
        <w:t>the removal of</w:t>
      </w:r>
      <w:r w:rsidRPr="00A351AB">
        <w:rPr>
          <w:rFonts w:ascii="Arial" w:hAnsi="Arial" w:cs="Arial"/>
          <w:lang w:val="en-GB"/>
        </w:rPr>
        <w:t xml:space="preserve"> internal borders (§§62-64). </w:t>
      </w:r>
    </w:p>
    <w:p w14:paraId="30AA8E26" w14:textId="77777777" w:rsidR="00C26CCA" w:rsidRPr="00A351AB" w:rsidRDefault="00C26CCA" w:rsidP="0036552D">
      <w:pPr>
        <w:spacing w:after="0" w:line="240" w:lineRule="auto"/>
        <w:jc w:val="both"/>
        <w:rPr>
          <w:rFonts w:ascii="Arial" w:hAnsi="Arial" w:cs="Arial"/>
          <w:lang w:val="en-GB"/>
        </w:rPr>
      </w:pPr>
    </w:p>
    <w:p w14:paraId="34D76279" w14:textId="7C2E5AB0" w:rsidR="009D24C3" w:rsidRPr="00A351AB" w:rsidRDefault="00C26CCA" w:rsidP="0036552D">
      <w:pPr>
        <w:spacing w:after="0" w:line="240" w:lineRule="auto"/>
        <w:jc w:val="both"/>
        <w:rPr>
          <w:rFonts w:ascii="Arial" w:hAnsi="Arial" w:cs="Arial"/>
          <w:lang w:val="en-GB"/>
        </w:rPr>
      </w:pPr>
      <w:r w:rsidRPr="00A351AB">
        <w:rPr>
          <w:rFonts w:ascii="Arial" w:hAnsi="Arial" w:cs="Arial"/>
          <w:lang w:val="en-GB"/>
        </w:rPr>
        <w:t>The Grand Chamber drew a parallel between the position</w:t>
      </w:r>
      <w:r w:rsidR="00314742" w:rsidRPr="00A351AB">
        <w:rPr>
          <w:rFonts w:ascii="Arial" w:hAnsi="Arial" w:cs="Arial"/>
          <w:lang w:val="en-GB"/>
        </w:rPr>
        <w:t>s</w:t>
      </w:r>
      <w:r w:rsidRPr="00A351AB">
        <w:rPr>
          <w:rFonts w:ascii="Arial" w:hAnsi="Arial" w:cs="Arial"/>
          <w:lang w:val="en-GB"/>
        </w:rPr>
        <w:t xml:space="preserve"> of Norway and the UK. Whilst </w:t>
      </w:r>
      <w:r w:rsidR="00314742" w:rsidRPr="00A351AB">
        <w:rPr>
          <w:rFonts w:ascii="Arial" w:hAnsi="Arial" w:cs="Arial"/>
          <w:lang w:val="en-GB"/>
        </w:rPr>
        <w:t>Norway is</w:t>
      </w:r>
      <w:r w:rsidRPr="00A351AB">
        <w:rPr>
          <w:rFonts w:ascii="Arial" w:hAnsi="Arial" w:cs="Arial"/>
          <w:lang w:val="en-GB"/>
        </w:rPr>
        <w:t xml:space="preserve"> </w:t>
      </w:r>
      <w:proofErr w:type="gramStart"/>
      <w:r w:rsidRPr="00A351AB">
        <w:rPr>
          <w:rFonts w:ascii="Arial" w:hAnsi="Arial" w:cs="Arial"/>
          <w:lang w:val="en-GB"/>
        </w:rPr>
        <w:t>a</w:t>
      </w:r>
      <w:r w:rsidR="001978AF">
        <w:rPr>
          <w:rFonts w:ascii="Arial" w:hAnsi="Arial" w:cs="Arial"/>
          <w:lang w:val="en-GB"/>
        </w:rPr>
        <w:t>n</w:t>
      </w:r>
      <w:proofErr w:type="gramEnd"/>
      <w:r w:rsidRPr="00A351AB">
        <w:rPr>
          <w:rFonts w:ascii="Arial" w:hAnsi="Arial" w:cs="Arial"/>
          <w:lang w:val="en-GB"/>
        </w:rPr>
        <w:t xml:space="preserve"> European Economic Area </w:t>
      </w:r>
      <w:r w:rsidR="001978AF">
        <w:rPr>
          <w:rFonts w:ascii="Arial" w:hAnsi="Arial" w:cs="Arial"/>
          <w:lang w:val="en-GB"/>
        </w:rPr>
        <w:t xml:space="preserve">member </w:t>
      </w:r>
      <w:r w:rsidRPr="00A351AB">
        <w:rPr>
          <w:rFonts w:ascii="Arial" w:hAnsi="Arial" w:cs="Arial"/>
          <w:lang w:val="en-GB"/>
        </w:rPr>
        <w:t xml:space="preserve">and a participant in various EU programmes, </w:t>
      </w:r>
      <w:r w:rsidR="00314742" w:rsidRPr="00A351AB">
        <w:rPr>
          <w:rFonts w:ascii="Arial" w:hAnsi="Arial" w:cs="Arial"/>
          <w:lang w:val="en-GB"/>
        </w:rPr>
        <w:t xml:space="preserve">including </w:t>
      </w:r>
      <w:r w:rsidR="00314742" w:rsidRPr="00A351AB">
        <w:rPr>
          <w:rFonts w:ascii="Arial" w:hAnsi="Arial" w:cs="Arial"/>
          <w:i/>
          <w:iCs/>
          <w:lang w:val="en-GB"/>
        </w:rPr>
        <w:t>inter alia</w:t>
      </w:r>
      <w:r w:rsidRPr="00A351AB">
        <w:rPr>
          <w:rFonts w:ascii="Arial" w:hAnsi="Arial" w:cs="Arial"/>
          <w:lang w:val="en-GB"/>
        </w:rPr>
        <w:t xml:space="preserve"> the Common European Asylum System and Schengen </w:t>
      </w:r>
      <w:r w:rsidRPr="00A351AB">
        <w:rPr>
          <w:rFonts w:ascii="Arial" w:hAnsi="Arial" w:cs="Arial"/>
          <w:i/>
          <w:iCs/>
          <w:lang w:val="en-GB"/>
        </w:rPr>
        <w:t xml:space="preserve">acquis </w:t>
      </w:r>
      <w:r w:rsidRPr="00A351AB">
        <w:rPr>
          <w:rFonts w:ascii="Arial" w:hAnsi="Arial" w:cs="Arial"/>
          <w:lang w:val="en-GB"/>
        </w:rPr>
        <w:t>(</w:t>
      </w:r>
      <w:r w:rsidR="009D24C3" w:rsidRPr="00A351AB">
        <w:rPr>
          <w:rFonts w:ascii="Arial" w:hAnsi="Arial" w:cs="Arial"/>
          <w:lang w:val="en-GB"/>
        </w:rPr>
        <w:t xml:space="preserve">§§66-69), the </w:t>
      </w:r>
      <w:r w:rsidR="00314742" w:rsidRPr="00A351AB">
        <w:rPr>
          <w:rFonts w:ascii="Arial" w:hAnsi="Arial" w:cs="Arial"/>
          <w:lang w:val="en-GB"/>
        </w:rPr>
        <w:t>UK</w:t>
      </w:r>
      <w:r w:rsidR="009D24C3" w:rsidRPr="00A351AB">
        <w:rPr>
          <w:rFonts w:ascii="Arial" w:hAnsi="Arial" w:cs="Arial"/>
          <w:lang w:val="en-GB"/>
        </w:rPr>
        <w:t xml:space="preserve"> </w:t>
      </w:r>
      <w:r w:rsidR="00314742" w:rsidRPr="00A351AB">
        <w:rPr>
          <w:rFonts w:ascii="Arial" w:hAnsi="Arial" w:cs="Arial"/>
          <w:lang w:val="en-GB"/>
        </w:rPr>
        <w:t>is</w:t>
      </w:r>
      <w:r w:rsidR="009D24C3" w:rsidRPr="00A351AB">
        <w:rPr>
          <w:rFonts w:ascii="Arial" w:hAnsi="Arial" w:cs="Arial"/>
          <w:lang w:val="en-GB"/>
        </w:rPr>
        <w:t xml:space="preserve"> not. The “trust” afforded to the UK is thus less</w:t>
      </w:r>
      <w:r w:rsidR="001978AF">
        <w:rPr>
          <w:rFonts w:ascii="Arial" w:hAnsi="Arial" w:cs="Arial"/>
          <w:lang w:val="en-GB"/>
        </w:rPr>
        <w:t>er</w:t>
      </w:r>
      <w:r w:rsidR="009D24C3" w:rsidRPr="00A351AB">
        <w:rPr>
          <w:rFonts w:ascii="Arial" w:hAnsi="Arial" w:cs="Arial"/>
          <w:lang w:val="en-GB"/>
        </w:rPr>
        <w:t xml:space="preserve"> (§69): “</w:t>
      </w:r>
      <w:r w:rsidR="009D24C3" w:rsidRPr="00A351AB">
        <w:rPr>
          <w:rFonts w:ascii="Arial" w:hAnsi="Arial" w:cs="Arial"/>
          <w:i/>
          <w:iCs/>
          <w:lang w:val="en-GB"/>
        </w:rPr>
        <w:t xml:space="preserve">The arrangements established by the TCA, it is important, </w:t>
      </w:r>
      <w:proofErr w:type="gramStart"/>
      <w:r w:rsidR="009D24C3" w:rsidRPr="00A351AB">
        <w:rPr>
          <w:rFonts w:ascii="Arial" w:hAnsi="Arial" w:cs="Arial"/>
          <w:i/>
          <w:iCs/>
          <w:lang w:val="en-GB"/>
        </w:rPr>
        <w:t>first of all</w:t>
      </w:r>
      <w:proofErr w:type="gramEnd"/>
      <w:r w:rsidR="009D24C3" w:rsidRPr="00A351AB">
        <w:rPr>
          <w:rFonts w:ascii="Arial" w:hAnsi="Arial" w:cs="Arial"/>
          <w:i/>
          <w:iCs/>
          <w:lang w:val="en-GB"/>
        </w:rPr>
        <w:t xml:space="preserve">, to note that that agreement does not establish, between the European Union and the United Kingdom, a relationship </w:t>
      </w:r>
      <w:r w:rsidR="009D24C3" w:rsidRPr="00A351AB">
        <w:rPr>
          <w:rFonts w:ascii="Arial" w:hAnsi="Arial" w:cs="Arial"/>
          <w:i/>
          <w:iCs/>
          <w:u w:val="single"/>
          <w:lang w:val="en-GB"/>
        </w:rPr>
        <w:t>as special as the one described</w:t>
      </w:r>
      <w:r w:rsidR="009D24C3" w:rsidRPr="00A351AB">
        <w:rPr>
          <w:rFonts w:ascii="Arial" w:hAnsi="Arial" w:cs="Arial"/>
          <w:i/>
          <w:iCs/>
          <w:lang w:val="en-GB"/>
        </w:rPr>
        <w:t xml:space="preserve"> in [relation to Norway</w:t>
      </w:r>
      <w:r w:rsidR="009D24C3" w:rsidRPr="00A351AB">
        <w:rPr>
          <w:rFonts w:ascii="Arial" w:hAnsi="Arial" w:cs="Arial"/>
          <w:lang w:val="en-GB"/>
        </w:rPr>
        <w:t>]</w:t>
      </w:r>
      <w:r w:rsidR="009D24C3" w:rsidRPr="00A351AB">
        <w:rPr>
          <w:rFonts w:ascii="Arial" w:hAnsi="Arial" w:cs="Arial"/>
          <w:i/>
          <w:iCs/>
          <w:lang w:val="en-GB"/>
        </w:rPr>
        <w:t>. In particular, the United Kingdom is not part of the European area without internal borders, the construction of which is permitted, inter alia, by the principle of mutual trust</w:t>
      </w:r>
      <w:r w:rsidR="009D24C3" w:rsidRPr="00A351AB">
        <w:rPr>
          <w:rFonts w:ascii="Arial" w:hAnsi="Arial" w:cs="Arial"/>
          <w:lang w:val="en-GB"/>
        </w:rPr>
        <w:t>” (§70</w:t>
      </w:r>
      <w:r w:rsidR="00314742" w:rsidRPr="00A351AB">
        <w:rPr>
          <w:rFonts w:ascii="Arial" w:hAnsi="Arial" w:cs="Arial"/>
          <w:lang w:val="en-GB"/>
        </w:rPr>
        <w:t>; NB: emphasis added</w:t>
      </w:r>
      <w:r w:rsidR="009D24C3" w:rsidRPr="00A351AB">
        <w:rPr>
          <w:rFonts w:ascii="Arial" w:hAnsi="Arial" w:cs="Arial"/>
          <w:lang w:val="en-GB"/>
        </w:rPr>
        <w:t xml:space="preserve">). The CJEU emphasised </w:t>
      </w:r>
      <w:proofErr w:type="gramStart"/>
      <w:r w:rsidR="00314742" w:rsidRPr="00A351AB">
        <w:rPr>
          <w:rFonts w:ascii="Arial" w:hAnsi="Arial" w:cs="Arial"/>
          <w:lang w:val="en-GB"/>
        </w:rPr>
        <w:t>various</w:t>
      </w:r>
      <w:r w:rsidR="009D24C3" w:rsidRPr="00A351AB">
        <w:rPr>
          <w:rFonts w:ascii="Arial" w:hAnsi="Arial" w:cs="Arial"/>
          <w:lang w:val="en-GB"/>
        </w:rPr>
        <w:t xml:space="preserve"> differences</w:t>
      </w:r>
      <w:proofErr w:type="gramEnd"/>
      <w:r w:rsidR="009D24C3" w:rsidRPr="00A351AB">
        <w:rPr>
          <w:rFonts w:ascii="Arial" w:hAnsi="Arial" w:cs="Arial"/>
          <w:lang w:val="en-GB"/>
        </w:rPr>
        <w:t xml:space="preserve"> between the EAW Framework Decision and the TCA surrender provisions (§72), </w:t>
      </w:r>
      <w:r w:rsidR="001978AF">
        <w:rPr>
          <w:rFonts w:ascii="Arial" w:hAnsi="Arial" w:cs="Arial"/>
          <w:lang w:val="en-GB"/>
        </w:rPr>
        <w:t>including</w:t>
      </w:r>
      <w:r w:rsidR="001978AF" w:rsidRPr="00A351AB">
        <w:rPr>
          <w:rFonts w:ascii="Arial" w:hAnsi="Arial" w:cs="Arial"/>
          <w:lang w:val="en-GB"/>
        </w:rPr>
        <w:t xml:space="preserve"> </w:t>
      </w:r>
      <w:r w:rsidR="009D24C3" w:rsidRPr="00A351AB">
        <w:rPr>
          <w:rFonts w:ascii="Arial" w:hAnsi="Arial" w:cs="Arial"/>
          <w:lang w:val="en-GB"/>
        </w:rPr>
        <w:t>the political offence exception</w:t>
      </w:r>
      <w:r w:rsidR="00314742" w:rsidRPr="00A351AB">
        <w:rPr>
          <w:rFonts w:ascii="Arial" w:hAnsi="Arial" w:cs="Arial"/>
          <w:lang w:val="en-GB"/>
        </w:rPr>
        <w:t xml:space="preserve">, </w:t>
      </w:r>
      <w:r w:rsidR="009D24C3" w:rsidRPr="00A351AB">
        <w:rPr>
          <w:rFonts w:ascii="Arial" w:hAnsi="Arial" w:cs="Arial"/>
          <w:lang w:val="en-GB"/>
        </w:rPr>
        <w:t xml:space="preserve">the nationality exception (§73) </w:t>
      </w:r>
      <w:r w:rsidR="00314742" w:rsidRPr="00A351AB">
        <w:rPr>
          <w:rFonts w:ascii="Arial" w:hAnsi="Arial" w:cs="Arial"/>
          <w:lang w:val="en-GB"/>
        </w:rPr>
        <w:t xml:space="preserve">and </w:t>
      </w:r>
      <w:r w:rsidR="009D24C3" w:rsidRPr="00A351AB">
        <w:rPr>
          <w:rFonts w:ascii="Arial" w:hAnsi="Arial" w:cs="Arial"/>
          <w:lang w:val="en-GB"/>
        </w:rPr>
        <w:t>the requirement to seek additional guarantees under Article 604(c) TCA (§74).</w:t>
      </w:r>
    </w:p>
    <w:p w14:paraId="7492BC8F" w14:textId="77777777" w:rsidR="009D24C3" w:rsidRPr="00A351AB" w:rsidRDefault="009D24C3" w:rsidP="0036552D">
      <w:pPr>
        <w:spacing w:after="0" w:line="240" w:lineRule="auto"/>
        <w:jc w:val="both"/>
        <w:rPr>
          <w:rFonts w:ascii="Arial" w:hAnsi="Arial" w:cs="Arial"/>
          <w:lang w:val="en-GB"/>
        </w:rPr>
      </w:pPr>
    </w:p>
    <w:p w14:paraId="2F17ADB6" w14:textId="77777777" w:rsidR="001978AF" w:rsidRDefault="009D24C3" w:rsidP="0036552D">
      <w:pPr>
        <w:spacing w:after="0" w:line="240" w:lineRule="auto"/>
        <w:jc w:val="both"/>
        <w:rPr>
          <w:rFonts w:ascii="Arial" w:hAnsi="Arial" w:cs="Arial"/>
          <w:color w:val="000000"/>
          <w:lang w:val="en-GB"/>
        </w:rPr>
      </w:pPr>
      <w:r w:rsidRPr="00A351AB">
        <w:rPr>
          <w:rFonts w:ascii="Arial" w:hAnsi="Arial" w:cs="Arial"/>
          <w:lang w:val="en-GB"/>
        </w:rPr>
        <w:t>The Grand Chamber concluded: “</w:t>
      </w:r>
      <w:r w:rsidRPr="00A351AB">
        <w:rPr>
          <w:rFonts w:ascii="Arial" w:hAnsi="Arial" w:cs="Arial"/>
          <w:i/>
          <w:iCs/>
          <w:lang w:val="en-GB"/>
        </w:rPr>
        <w:t>I</w:t>
      </w:r>
      <w:r w:rsidRPr="00A351AB">
        <w:rPr>
          <w:rFonts w:ascii="Arial" w:hAnsi="Arial" w:cs="Arial"/>
          <w:i/>
          <w:iCs/>
          <w:color w:val="000000"/>
          <w:lang w:val="en-GB"/>
        </w:rPr>
        <w:t>t follows that the executing judicial authority called upon to rule on an arrest warrant issued on the basis of the TCA cannot order the surrender of the requested person if it considers, following a specific and precise examination of that person’s situation, that there are valid reasons for believing that that person would run a real risk to the protection of his or her fundamental rights if that person were surrendered to the United Kingdom</w:t>
      </w:r>
      <w:r w:rsidRPr="00A351AB">
        <w:rPr>
          <w:rFonts w:ascii="Arial" w:hAnsi="Arial" w:cs="Arial"/>
          <w:color w:val="000000"/>
          <w:lang w:val="en-GB"/>
        </w:rPr>
        <w:t xml:space="preserve">” (§78). </w:t>
      </w:r>
    </w:p>
    <w:p w14:paraId="4CA7EC65" w14:textId="77777777" w:rsidR="001978AF" w:rsidRDefault="001978AF" w:rsidP="0036552D">
      <w:pPr>
        <w:spacing w:after="0" w:line="240" w:lineRule="auto"/>
        <w:jc w:val="both"/>
        <w:rPr>
          <w:rFonts w:ascii="Arial" w:hAnsi="Arial" w:cs="Arial"/>
          <w:color w:val="000000"/>
          <w:lang w:val="en-GB"/>
        </w:rPr>
      </w:pPr>
    </w:p>
    <w:p w14:paraId="2EA0443F" w14:textId="797E5666" w:rsidR="009D24C3" w:rsidRPr="00A351AB" w:rsidRDefault="009D24C3" w:rsidP="0036552D">
      <w:pPr>
        <w:spacing w:after="0" w:line="240" w:lineRule="auto"/>
        <w:jc w:val="both"/>
        <w:rPr>
          <w:rFonts w:ascii="Arial" w:hAnsi="Arial" w:cs="Arial"/>
          <w:color w:val="000000"/>
          <w:lang w:val="en-GB"/>
        </w:rPr>
      </w:pPr>
      <w:r w:rsidRPr="00A351AB">
        <w:rPr>
          <w:rFonts w:ascii="Arial" w:hAnsi="Arial" w:cs="Arial"/>
          <w:color w:val="000000"/>
          <w:lang w:val="en-GB"/>
        </w:rPr>
        <w:t>EU executing judicial authorities must undertake an “</w:t>
      </w:r>
      <w:r w:rsidRPr="00A351AB">
        <w:rPr>
          <w:rFonts w:ascii="Arial" w:hAnsi="Arial" w:cs="Arial"/>
          <w:i/>
          <w:iCs/>
          <w:color w:val="000000"/>
          <w:lang w:val="en-GB"/>
        </w:rPr>
        <w:t>appropriate examination</w:t>
      </w:r>
      <w:r w:rsidRPr="00A351AB">
        <w:rPr>
          <w:rFonts w:ascii="Arial" w:hAnsi="Arial" w:cs="Arial"/>
          <w:color w:val="000000"/>
          <w:lang w:val="en-GB"/>
        </w:rPr>
        <w:t xml:space="preserve">” to assess where there is a real risk of a </w:t>
      </w:r>
      <w:r w:rsidR="0013007F" w:rsidRPr="00A351AB">
        <w:rPr>
          <w:rFonts w:ascii="Arial" w:hAnsi="Arial" w:cs="Arial"/>
          <w:color w:val="000000"/>
          <w:lang w:val="en-GB"/>
        </w:rPr>
        <w:t xml:space="preserve">Charter </w:t>
      </w:r>
      <w:r w:rsidRPr="00A351AB">
        <w:rPr>
          <w:rFonts w:ascii="Arial" w:hAnsi="Arial" w:cs="Arial"/>
          <w:color w:val="000000"/>
          <w:lang w:val="en-GB"/>
        </w:rPr>
        <w:t xml:space="preserve">violation (§79). </w:t>
      </w:r>
      <w:r w:rsidRPr="00A351AB">
        <w:rPr>
          <w:rFonts w:ascii="Arial" w:hAnsi="Arial" w:cs="Arial"/>
          <w:color w:val="000000"/>
          <w:u w:val="single"/>
          <w:lang w:val="en-GB"/>
        </w:rPr>
        <w:t>Declarations are accessions to international treaties and long-standing respect for human rights and fundamental freedoms only go so fa</w:t>
      </w:r>
      <w:r w:rsidRPr="00A351AB">
        <w:rPr>
          <w:rFonts w:ascii="Arial" w:hAnsi="Arial" w:cs="Arial"/>
          <w:color w:val="000000"/>
          <w:lang w:val="en-GB"/>
        </w:rPr>
        <w:t xml:space="preserve">r (§80). </w:t>
      </w:r>
      <w:r w:rsidR="0013007F" w:rsidRPr="00A351AB">
        <w:rPr>
          <w:rFonts w:ascii="Arial" w:hAnsi="Arial" w:cs="Arial"/>
          <w:color w:val="000000"/>
          <w:lang w:val="en-GB"/>
        </w:rPr>
        <w:t xml:space="preserve">As such, the IESC </w:t>
      </w:r>
      <w:r w:rsidRPr="00A351AB">
        <w:rPr>
          <w:rFonts w:ascii="Arial" w:hAnsi="Arial" w:cs="Arial"/>
          <w:color w:val="000000"/>
          <w:lang w:val="en-GB"/>
        </w:rPr>
        <w:t xml:space="preserve">cannot </w:t>
      </w:r>
      <w:r w:rsidR="00B03876">
        <w:rPr>
          <w:rFonts w:ascii="Arial" w:hAnsi="Arial" w:cs="Arial"/>
          <w:color w:val="000000"/>
          <w:lang w:val="en-GB"/>
        </w:rPr>
        <w:t xml:space="preserve">rely </w:t>
      </w:r>
      <w:r w:rsidRPr="00A351AB">
        <w:rPr>
          <w:rFonts w:ascii="Arial" w:hAnsi="Arial" w:cs="Arial"/>
          <w:color w:val="000000"/>
          <w:lang w:val="en-GB"/>
        </w:rPr>
        <w:t xml:space="preserve">on the </w:t>
      </w:r>
      <w:r w:rsidR="0013007F" w:rsidRPr="00A351AB">
        <w:rPr>
          <w:rFonts w:ascii="Arial" w:hAnsi="Arial" w:cs="Arial"/>
          <w:color w:val="000000"/>
          <w:lang w:val="en-GB"/>
        </w:rPr>
        <w:t>UKSC’s</w:t>
      </w:r>
      <w:r w:rsidRPr="00A351AB">
        <w:rPr>
          <w:rFonts w:ascii="Arial" w:hAnsi="Arial" w:cs="Arial"/>
          <w:color w:val="000000"/>
          <w:lang w:val="en-GB"/>
        </w:rPr>
        <w:t xml:space="preserve"> assessment of </w:t>
      </w:r>
      <w:r w:rsidR="0013007F" w:rsidRPr="00A351AB">
        <w:rPr>
          <w:rFonts w:ascii="Arial" w:hAnsi="Arial" w:cs="Arial"/>
          <w:color w:val="000000"/>
          <w:lang w:val="en-GB"/>
        </w:rPr>
        <w:t xml:space="preserve">the Order’s </w:t>
      </w:r>
      <w:r w:rsidRPr="00A351AB">
        <w:rPr>
          <w:rFonts w:ascii="Arial" w:hAnsi="Arial" w:cs="Arial"/>
          <w:color w:val="000000"/>
          <w:lang w:val="en-GB"/>
        </w:rPr>
        <w:t>compatibility with Article 7 ECHR</w:t>
      </w:r>
      <w:r w:rsidR="00B03876">
        <w:rPr>
          <w:rFonts w:ascii="Arial" w:hAnsi="Arial" w:cs="Arial"/>
          <w:color w:val="000000"/>
          <w:lang w:val="en-GB"/>
        </w:rPr>
        <w:t xml:space="preserve">; </w:t>
      </w:r>
      <w:r w:rsidRPr="00A351AB">
        <w:rPr>
          <w:rFonts w:ascii="Arial" w:hAnsi="Arial" w:cs="Arial"/>
          <w:color w:val="000000"/>
          <w:lang w:val="en-GB"/>
        </w:rPr>
        <w:t xml:space="preserve">nor </w:t>
      </w:r>
      <w:r w:rsidR="0013007F" w:rsidRPr="00A351AB">
        <w:rPr>
          <w:rFonts w:ascii="Arial" w:hAnsi="Arial" w:cs="Arial"/>
          <w:color w:val="000000"/>
          <w:lang w:val="en-GB"/>
        </w:rPr>
        <w:t>is</w:t>
      </w:r>
      <w:r w:rsidRPr="00A351AB">
        <w:rPr>
          <w:rFonts w:ascii="Arial" w:hAnsi="Arial" w:cs="Arial"/>
          <w:color w:val="000000"/>
          <w:lang w:val="en-GB"/>
        </w:rPr>
        <w:t xml:space="preserve"> the possibility of an individual application to the ECtHR</w:t>
      </w:r>
      <w:r w:rsidR="0013007F" w:rsidRPr="00A351AB">
        <w:rPr>
          <w:rFonts w:ascii="Arial" w:hAnsi="Arial" w:cs="Arial"/>
          <w:color w:val="000000"/>
          <w:lang w:val="en-GB"/>
        </w:rPr>
        <w:t xml:space="preserve"> an answer</w:t>
      </w:r>
      <w:r w:rsidRPr="00A351AB">
        <w:rPr>
          <w:rFonts w:ascii="Arial" w:hAnsi="Arial" w:cs="Arial"/>
          <w:color w:val="000000"/>
          <w:lang w:val="en-GB"/>
        </w:rPr>
        <w:t xml:space="preserve"> (§</w:t>
      </w:r>
      <w:r w:rsidR="00C955DA" w:rsidRPr="00A351AB">
        <w:rPr>
          <w:rFonts w:ascii="Arial" w:hAnsi="Arial" w:cs="Arial"/>
          <w:color w:val="000000"/>
          <w:lang w:val="en-GB"/>
        </w:rPr>
        <w:t xml:space="preserve">81 and §83). </w:t>
      </w:r>
      <w:r w:rsidR="00C955DA" w:rsidRPr="00A351AB">
        <w:rPr>
          <w:rFonts w:ascii="Arial" w:hAnsi="Arial" w:cs="Arial"/>
          <w:color w:val="000000"/>
          <w:u w:val="single"/>
          <w:lang w:val="en-GB"/>
        </w:rPr>
        <w:t xml:space="preserve">Instead, </w:t>
      </w:r>
      <w:r w:rsidR="0013007F" w:rsidRPr="00A351AB">
        <w:rPr>
          <w:rFonts w:ascii="Arial" w:hAnsi="Arial" w:cs="Arial"/>
          <w:color w:val="000000"/>
          <w:u w:val="single"/>
          <w:lang w:val="en-GB"/>
        </w:rPr>
        <w:t xml:space="preserve">the Irish executing judicial </w:t>
      </w:r>
      <w:r w:rsidR="00DB3006" w:rsidRPr="00A351AB">
        <w:rPr>
          <w:rFonts w:ascii="Arial" w:hAnsi="Arial" w:cs="Arial"/>
          <w:color w:val="000000"/>
          <w:u w:val="single"/>
          <w:lang w:val="en-GB"/>
        </w:rPr>
        <w:t>authority</w:t>
      </w:r>
      <w:r w:rsidR="00C955DA" w:rsidRPr="00A351AB">
        <w:rPr>
          <w:rFonts w:ascii="Arial" w:hAnsi="Arial" w:cs="Arial"/>
          <w:color w:val="000000"/>
          <w:u w:val="single"/>
          <w:lang w:val="en-GB"/>
        </w:rPr>
        <w:t xml:space="preserve"> must carry out </w:t>
      </w:r>
      <w:r w:rsidR="00B03876">
        <w:rPr>
          <w:rFonts w:ascii="Arial" w:hAnsi="Arial" w:cs="Arial"/>
          <w:color w:val="000000"/>
          <w:u w:val="single"/>
          <w:lang w:val="en-GB"/>
        </w:rPr>
        <w:t>its</w:t>
      </w:r>
      <w:r w:rsidR="00C955DA" w:rsidRPr="00A351AB">
        <w:rPr>
          <w:rFonts w:ascii="Arial" w:hAnsi="Arial" w:cs="Arial"/>
          <w:color w:val="000000"/>
          <w:u w:val="single"/>
          <w:lang w:val="en-GB"/>
        </w:rPr>
        <w:t xml:space="preserve"> own assessment of the matter</w:t>
      </w:r>
      <w:r w:rsidR="00C955DA" w:rsidRPr="00A351AB">
        <w:rPr>
          <w:rFonts w:ascii="Arial" w:hAnsi="Arial" w:cs="Arial"/>
          <w:color w:val="000000"/>
          <w:lang w:val="en-GB"/>
        </w:rPr>
        <w:t>.</w:t>
      </w:r>
    </w:p>
    <w:p w14:paraId="1DC6482A" w14:textId="77777777" w:rsidR="00C955DA" w:rsidRPr="00A351AB" w:rsidRDefault="00C955DA" w:rsidP="0036552D">
      <w:pPr>
        <w:spacing w:after="0" w:line="240" w:lineRule="auto"/>
        <w:jc w:val="both"/>
        <w:rPr>
          <w:rFonts w:ascii="Arial" w:hAnsi="Arial" w:cs="Arial"/>
          <w:color w:val="000000"/>
          <w:lang w:val="en-GB"/>
        </w:rPr>
      </w:pPr>
    </w:p>
    <w:p w14:paraId="201B2B13" w14:textId="3821CB49" w:rsidR="00B03876" w:rsidRDefault="00C955DA" w:rsidP="0036552D">
      <w:pPr>
        <w:spacing w:after="0" w:line="240" w:lineRule="auto"/>
        <w:jc w:val="both"/>
        <w:rPr>
          <w:rFonts w:ascii="Arial" w:hAnsi="Arial" w:cs="Arial"/>
          <w:color w:val="000000"/>
          <w:lang w:val="en-GB"/>
        </w:rPr>
      </w:pPr>
      <w:r w:rsidRPr="00A351AB">
        <w:rPr>
          <w:rFonts w:ascii="Arial" w:hAnsi="Arial" w:cs="Arial"/>
          <w:color w:val="000000"/>
          <w:lang w:val="en-GB"/>
        </w:rPr>
        <w:t>The two-step evaluation</w:t>
      </w:r>
      <w:r w:rsidR="001978AF">
        <w:rPr>
          <w:rFonts w:ascii="Arial" w:hAnsi="Arial" w:cs="Arial"/>
          <w:color w:val="000000"/>
          <w:lang w:val="en-GB"/>
        </w:rPr>
        <w:t xml:space="preserve"> in </w:t>
      </w:r>
      <w:proofErr w:type="spellStart"/>
      <w:r w:rsidR="001978AF">
        <w:rPr>
          <w:rFonts w:ascii="Arial" w:hAnsi="Arial" w:cs="Arial"/>
          <w:b/>
          <w:bCs/>
          <w:i/>
          <w:iCs/>
          <w:color w:val="000000"/>
          <w:lang w:val="en-GB"/>
        </w:rPr>
        <w:t>Aranyosi</w:t>
      </w:r>
      <w:proofErr w:type="spellEnd"/>
      <w:r w:rsidR="001978AF">
        <w:rPr>
          <w:rFonts w:ascii="Arial" w:hAnsi="Arial" w:cs="Arial"/>
          <w:b/>
          <w:bCs/>
          <w:i/>
          <w:iCs/>
          <w:color w:val="000000"/>
          <w:lang w:val="en-GB"/>
        </w:rPr>
        <w:t xml:space="preserve"> </w:t>
      </w:r>
      <w:r w:rsidR="001978AF">
        <w:rPr>
          <w:rFonts w:ascii="Arial" w:hAnsi="Arial" w:cs="Arial"/>
          <w:color w:val="000000"/>
          <w:lang w:val="en-GB"/>
        </w:rPr>
        <w:t>etc,</w:t>
      </w:r>
      <w:r w:rsidRPr="00A351AB">
        <w:rPr>
          <w:rFonts w:ascii="Arial" w:hAnsi="Arial" w:cs="Arial"/>
          <w:color w:val="000000"/>
          <w:lang w:val="en-GB"/>
        </w:rPr>
        <w:t xml:space="preserve"> is thus reduced to a single step</w:t>
      </w:r>
      <w:r w:rsidR="00B03876">
        <w:rPr>
          <w:rFonts w:ascii="Arial" w:hAnsi="Arial" w:cs="Arial"/>
          <w:color w:val="000000"/>
          <w:lang w:val="en-GB"/>
        </w:rPr>
        <w:t xml:space="preserve"> entailing </w:t>
      </w:r>
      <w:r w:rsidR="0013007F" w:rsidRPr="00A351AB">
        <w:rPr>
          <w:rFonts w:ascii="Arial" w:hAnsi="Arial" w:cs="Arial"/>
          <w:color w:val="000000"/>
          <w:lang w:val="en-GB"/>
        </w:rPr>
        <w:t>a</w:t>
      </w:r>
      <w:r w:rsidRPr="00A351AB">
        <w:rPr>
          <w:rFonts w:ascii="Arial" w:hAnsi="Arial" w:cs="Arial"/>
          <w:color w:val="000000"/>
          <w:lang w:val="en-GB"/>
        </w:rPr>
        <w:t xml:space="preserve"> holistic evaluation of all the circumstances</w:t>
      </w:r>
      <w:r w:rsidR="00B03876">
        <w:rPr>
          <w:rFonts w:ascii="Arial" w:hAnsi="Arial" w:cs="Arial"/>
          <w:color w:val="000000"/>
          <w:lang w:val="en-GB"/>
        </w:rPr>
        <w:t xml:space="preserve"> of a case</w:t>
      </w:r>
      <w:r w:rsidRPr="00A351AB">
        <w:rPr>
          <w:rFonts w:ascii="Arial" w:hAnsi="Arial" w:cs="Arial"/>
          <w:color w:val="000000"/>
          <w:lang w:val="en-GB"/>
        </w:rPr>
        <w:t xml:space="preserve"> </w:t>
      </w:r>
      <w:r w:rsidRPr="00A351AB">
        <w:rPr>
          <w:rFonts w:ascii="Arial" w:hAnsi="Arial" w:cs="Arial"/>
          <w:color w:val="000000"/>
          <w:u w:val="single"/>
          <w:lang w:val="en-GB"/>
        </w:rPr>
        <w:t>without</w:t>
      </w:r>
      <w:r w:rsidRPr="00A351AB">
        <w:rPr>
          <w:rFonts w:ascii="Arial" w:hAnsi="Arial" w:cs="Arial"/>
          <w:color w:val="000000"/>
          <w:lang w:val="en-GB"/>
        </w:rPr>
        <w:t xml:space="preserve"> reliance on a presumption of compliance with the Charter and </w:t>
      </w:r>
      <w:r w:rsidR="00B03876">
        <w:rPr>
          <w:rFonts w:ascii="Arial" w:hAnsi="Arial" w:cs="Arial"/>
          <w:color w:val="000000"/>
          <w:lang w:val="en-GB"/>
        </w:rPr>
        <w:t xml:space="preserve">without </w:t>
      </w:r>
      <w:r w:rsidR="0013007F" w:rsidRPr="00A351AB">
        <w:rPr>
          <w:rFonts w:ascii="Arial" w:hAnsi="Arial" w:cs="Arial"/>
          <w:color w:val="000000"/>
          <w:lang w:val="en-GB"/>
        </w:rPr>
        <w:t xml:space="preserve">deference to </w:t>
      </w:r>
      <w:r w:rsidRPr="00A351AB">
        <w:rPr>
          <w:rFonts w:ascii="Arial" w:hAnsi="Arial" w:cs="Arial"/>
          <w:color w:val="000000"/>
          <w:lang w:val="en-GB"/>
        </w:rPr>
        <w:t xml:space="preserve">mutual trust and mutual recognition (§82). </w:t>
      </w:r>
      <w:r w:rsidR="00B03876">
        <w:rPr>
          <w:rFonts w:ascii="Arial" w:hAnsi="Arial" w:cs="Arial"/>
          <w:color w:val="000000"/>
          <w:lang w:val="en-GB"/>
        </w:rPr>
        <w:t>Instead, the</w:t>
      </w:r>
      <w:r w:rsidRPr="00A351AB">
        <w:rPr>
          <w:rFonts w:ascii="Arial" w:hAnsi="Arial" w:cs="Arial"/>
          <w:color w:val="000000"/>
          <w:lang w:val="en-GB"/>
        </w:rPr>
        <w:t xml:space="preserve"> </w:t>
      </w:r>
      <w:r w:rsidR="00A351AB" w:rsidRPr="00A351AB">
        <w:rPr>
          <w:rFonts w:ascii="Arial" w:hAnsi="Arial" w:cs="Arial"/>
          <w:color w:val="000000"/>
          <w:lang w:val="en-GB"/>
        </w:rPr>
        <w:t xml:space="preserve">EU </w:t>
      </w:r>
      <w:r w:rsidRPr="00A351AB">
        <w:rPr>
          <w:rFonts w:ascii="Arial" w:hAnsi="Arial" w:cs="Arial"/>
          <w:color w:val="000000"/>
          <w:lang w:val="en-GB"/>
        </w:rPr>
        <w:t>executing judicial authority’s assessment must consider “</w:t>
      </w:r>
      <w:r w:rsidRPr="00A351AB">
        <w:rPr>
          <w:rFonts w:ascii="Arial" w:hAnsi="Arial" w:cs="Arial"/>
          <w:i/>
          <w:iCs/>
          <w:color w:val="000000"/>
          <w:lang w:val="en-GB"/>
        </w:rPr>
        <w:t xml:space="preserve">the </w:t>
      </w:r>
      <w:r w:rsidR="00BA525A" w:rsidRPr="00A351AB">
        <w:rPr>
          <w:rFonts w:ascii="Arial" w:hAnsi="Arial" w:cs="Arial"/>
          <w:i/>
          <w:iCs/>
          <w:color w:val="000000"/>
          <w:lang w:val="en-GB"/>
        </w:rPr>
        <w:t>individual</w:t>
      </w:r>
      <w:r w:rsidRPr="00A351AB">
        <w:rPr>
          <w:rFonts w:ascii="Arial" w:hAnsi="Arial" w:cs="Arial"/>
          <w:i/>
          <w:iCs/>
          <w:color w:val="000000"/>
          <w:lang w:val="en-GB"/>
        </w:rPr>
        <w:t xml:space="preserve"> situation of the requested person</w:t>
      </w:r>
      <w:r w:rsidR="00A351AB" w:rsidRPr="00A351AB">
        <w:rPr>
          <w:rFonts w:ascii="Arial" w:hAnsi="Arial" w:cs="Arial"/>
          <w:i/>
          <w:iCs/>
          <w:color w:val="000000"/>
          <w:lang w:val="en-GB"/>
        </w:rPr>
        <w:t xml:space="preserve"> [with]</w:t>
      </w:r>
      <w:r w:rsidRPr="00A351AB">
        <w:rPr>
          <w:rFonts w:ascii="Arial" w:hAnsi="Arial" w:cs="Arial"/>
          <w:i/>
          <w:iCs/>
          <w:color w:val="000000"/>
          <w:lang w:val="en-GB"/>
        </w:rPr>
        <w:t xml:space="preserve"> objective, reliable, specific and properly updated information</w:t>
      </w:r>
      <w:r w:rsidRPr="00A351AB">
        <w:rPr>
          <w:rFonts w:ascii="Arial" w:hAnsi="Arial" w:cs="Arial"/>
          <w:color w:val="000000"/>
          <w:lang w:val="en-GB"/>
        </w:rPr>
        <w:t xml:space="preserve">” (§85). </w:t>
      </w:r>
    </w:p>
    <w:p w14:paraId="17D0B796" w14:textId="77777777" w:rsidR="00B03876" w:rsidRDefault="00B03876" w:rsidP="0036552D">
      <w:pPr>
        <w:spacing w:after="0" w:line="240" w:lineRule="auto"/>
        <w:jc w:val="both"/>
        <w:rPr>
          <w:rFonts w:ascii="Arial" w:hAnsi="Arial" w:cs="Arial"/>
          <w:color w:val="000000"/>
          <w:lang w:val="en-GB"/>
        </w:rPr>
      </w:pPr>
    </w:p>
    <w:p w14:paraId="3F20E5E4" w14:textId="438B2D65" w:rsidR="00C955DA" w:rsidRPr="00A351AB" w:rsidRDefault="00B03876" w:rsidP="0036552D">
      <w:pPr>
        <w:spacing w:after="0" w:line="240" w:lineRule="auto"/>
        <w:jc w:val="both"/>
        <w:rPr>
          <w:rFonts w:ascii="Arial" w:hAnsi="Arial" w:cs="Arial"/>
          <w:color w:val="000000"/>
          <w:lang w:val="en-GB"/>
        </w:rPr>
      </w:pPr>
      <w:r>
        <w:rPr>
          <w:rFonts w:ascii="Arial" w:hAnsi="Arial" w:cs="Arial"/>
          <w:color w:val="000000"/>
          <w:lang w:val="en-GB"/>
        </w:rPr>
        <w:t>Nevertheless, t</w:t>
      </w:r>
      <w:r w:rsidR="00C955DA" w:rsidRPr="00A351AB">
        <w:rPr>
          <w:rFonts w:ascii="Arial" w:hAnsi="Arial" w:cs="Arial"/>
          <w:color w:val="000000"/>
          <w:lang w:val="en-GB"/>
        </w:rPr>
        <w:t>here must be “</w:t>
      </w:r>
      <w:r w:rsidR="00C955DA" w:rsidRPr="00A351AB">
        <w:rPr>
          <w:rFonts w:ascii="Arial" w:hAnsi="Arial" w:cs="Arial"/>
          <w:i/>
          <w:iCs/>
          <w:color w:val="000000"/>
          <w:lang w:val="en-GB"/>
        </w:rPr>
        <w:t>a sufficient factual basis</w:t>
      </w:r>
      <w:r w:rsidR="00C955DA" w:rsidRPr="00A351AB">
        <w:rPr>
          <w:rFonts w:ascii="Arial" w:hAnsi="Arial" w:cs="Arial"/>
          <w:color w:val="000000"/>
          <w:lang w:val="en-GB"/>
        </w:rPr>
        <w:t xml:space="preserve">” to refuse surrender (§83) and an </w:t>
      </w:r>
      <w:r w:rsidR="00A351AB" w:rsidRPr="00A351AB">
        <w:rPr>
          <w:rFonts w:ascii="Arial" w:hAnsi="Arial" w:cs="Arial"/>
          <w:color w:val="000000"/>
          <w:lang w:val="en-GB"/>
        </w:rPr>
        <w:t xml:space="preserve">EU </w:t>
      </w:r>
      <w:r w:rsidR="00C955DA" w:rsidRPr="00A351AB">
        <w:rPr>
          <w:rFonts w:ascii="Arial" w:hAnsi="Arial" w:cs="Arial"/>
          <w:color w:val="000000"/>
          <w:lang w:val="en-GB"/>
        </w:rPr>
        <w:t>executing judicial authority must avail itself of</w:t>
      </w:r>
      <w:r>
        <w:rPr>
          <w:rFonts w:ascii="Arial" w:hAnsi="Arial" w:cs="Arial"/>
          <w:color w:val="000000"/>
          <w:lang w:val="en-GB"/>
        </w:rPr>
        <w:t xml:space="preserve"> the</w:t>
      </w:r>
      <w:r w:rsidR="00C955DA" w:rsidRPr="00A351AB">
        <w:rPr>
          <w:rFonts w:ascii="Arial" w:hAnsi="Arial" w:cs="Arial"/>
          <w:color w:val="000000"/>
          <w:lang w:val="en-GB"/>
        </w:rPr>
        <w:t xml:space="preserve"> </w:t>
      </w:r>
      <w:r w:rsidR="00A351AB" w:rsidRPr="00A351AB">
        <w:rPr>
          <w:rFonts w:ascii="Arial" w:hAnsi="Arial" w:cs="Arial"/>
          <w:color w:val="000000"/>
          <w:lang w:val="en-GB"/>
        </w:rPr>
        <w:t>“judicial dialogue”</w:t>
      </w:r>
      <w:r w:rsidR="00C955DA" w:rsidRPr="00A351AB">
        <w:rPr>
          <w:rFonts w:ascii="Arial" w:hAnsi="Arial" w:cs="Arial"/>
          <w:color w:val="000000"/>
          <w:lang w:val="en-GB"/>
        </w:rPr>
        <w:t xml:space="preserve"> measures (§§88-89), including Article 613(2) TCA (§89) and Article 604(c) (§90)</w:t>
      </w:r>
      <w:r>
        <w:rPr>
          <w:rFonts w:ascii="Arial" w:hAnsi="Arial" w:cs="Arial"/>
          <w:color w:val="000000"/>
          <w:lang w:val="en-GB"/>
        </w:rPr>
        <w:t xml:space="preserve">. </w:t>
      </w:r>
      <w:r w:rsidR="00A351AB" w:rsidRPr="00A351AB">
        <w:rPr>
          <w:rFonts w:ascii="Arial" w:hAnsi="Arial" w:cs="Arial"/>
          <w:color w:val="000000"/>
          <w:lang w:val="en-GB"/>
        </w:rPr>
        <w:t>A</w:t>
      </w:r>
      <w:r w:rsidR="00C955DA" w:rsidRPr="00A351AB">
        <w:rPr>
          <w:rFonts w:ascii="Arial" w:hAnsi="Arial" w:cs="Arial"/>
          <w:color w:val="000000"/>
          <w:lang w:val="en-GB"/>
        </w:rPr>
        <w:t xml:space="preserve"> UK issuing judicial authority must furnish</w:t>
      </w:r>
      <w:r w:rsidR="00A351AB" w:rsidRPr="00A351AB">
        <w:rPr>
          <w:rFonts w:ascii="Arial" w:hAnsi="Arial" w:cs="Arial"/>
          <w:color w:val="000000"/>
          <w:lang w:val="en-GB"/>
        </w:rPr>
        <w:t xml:space="preserve"> a response thereto</w:t>
      </w:r>
      <w:r w:rsidR="00C955DA" w:rsidRPr="00A351AB">
        <w:rPr>
          <w:rFonts w:ascii="Arial" w:hAnsi="Arial" w:cs="Arial"/>
          <w:color w:val="000000"/>
          <w:lang w:val="en-GB"/>
        </w:rPr>
        <w:t xml:space="preserve"> as a matter of urgency (§87). It is only in the absence of a </w:t>
      </w:r>
      <w:r w:rsidR="00BA525A" w:rsidRPr="00A351AB">
        <w:rPr>
          <w:rFonts w:ascii="Arial" w:hAnsi="Arial" w:cs="Arial"/>
          <w:color w:val="000000"/>
          <w:lang w:val="en-GB"/>
        </w:rPr>
        <w:t>sufficient</w:t>
      </w:r>
      <w:r w:rsidR="00C955DA" w:rsidRPr="00A351AB">
        <w:rPr>
          <w:rFonts w:ascii="Arial" w:hAnsi="Arial" w:cs="Arial"/>
          <w:color w:val="000000"/>
          <w:lang w:val="en-GB"/>
        </w:rPr>
        <w:t xml:space="preserve"> guarantees or further information that surrender can be refused (§91).</w:t>
      </w:r>
    </w:p>
    <w:p w14:paraId="5318464C" w14:textId="77777777" w:rsidR="00C955DA" w:rsidRPr="00A351AB" w:rsidRDefault="00C955DA" w:rsidP="0036552D">
      <w:pPr>
        <w:spacing w:after="0" w:line="240" w:lineRule="auto"/>
        <w:jc w:val="both"/>
        <w:rPr>
          <w:rFonts w:ascii="Arial" w:hAnsi="Arial" w:cs="Arial"/>
          <w:color w:val="000000"/>
          <w:lang w:val="en-GB"/>
        </w:rPr>
      </w:pPr>
    </w:p>
    <w:p w14:paraId="7208ADE4" w14:textId="2CCBFBEA" w:rsidR="00BA525A" w:rsidRPr="00A351AB" w:rsidRDefault="00C955DA" w:rsidP="0036552D">
      <w:pPr>
        <w:spacing w:after="0" w:line="240" w:lineRule="auto"/>
        <w:jc w:val="both"/>
        <w:rPr>
          <w:rFonts w:ascii="Arial" w:hAnsi="Arial" w:cs="Arial"/>
          <w:color w:val="000000"/>
          <w:lang w:val="en-GB"/>
        </w:rPr>
      </w:pPr>
      <w:r w:rsidRPr="00A351AB">
        <w:rPr>
          <w:rFonts w:ascii="Arial" w:hAnsi="Arial" w:cs="Arial"/>
          <w:color w:val="000000"/>
          <w:lang w:val="en-GB"/>
        </w:rPr>
        <w:t xml:space="preserve">On the specific </w:t>
      </w:r>
      <w:r w:rsidR="00A351AB" w:rsidRPr="00A351AB">
        <w:rPr>
          <w:rFonts w:ascii="Arial" w:hAnsi="Arial" w:cs="Arial"/>
          <w:color w:val="000000"/>
          <w:lang w:val="en-GB"/>
        </w:rPr>
        <w:t>matter in issue</w:t>
      </w:r>
      <w:r w:rsidRPr="00A351AB">
        <w:rPr>
          <w:rFonts w:ascii="Arial" w:hAnsi="Arial" w:cs="Arial"/>
          <w:color w:val="000000"/>
          <w:lang w:val="en-GB"/>
        </w:rPr>
        <w:t>, the CJEU</w:t>
      </w:r>
      <w:r w:rsidR="00BA525A" w:rsidRPr="00A351AB">
        <w:rPr>
          <w:rFonts w:ascii="Arial" w:hAnsi="Arial" w:cs="Arial"/>
          <w:color w:val="000000"/>
          <w:lang w:val="en-GB"/>
        </w:rPr>
        <w:t xml:space="preserve"> </w:t>
      </w:r>
      <w:r w:rsidR="00A351AB" w:rsidRPr="00A351AB">
        <w:rPr>
          <w:rFonts w:ascii="Arial" w:hAnsi="Arial" w:cs="Arial"/>
          <w:color w:val="000000"/>
          <w:lang w:val="en-GB"/>
        </w:rPr>
        <w:t>considered</w:t>
      </w:r>
      <w:r w:rsidR="00BA525A" w:rsidRPr="00A351AB">
        <w:rPr>
          <w:rFonts w:ascii="Arial" w:hAnsi="Arial" w:cs="Arial"/>
          <w:color w:val="000000"/>
          <w:lang w:val="en-GB"/>
        </w:rPr>
        <w:t xml:space="preserve"> that “</w:t>
      </w:r>
      <w:r w:rsidR="00BA525A" w:rsidRPr="00A351AB">
        <w:rPr>
          <w:rFonts w:ascii="Arial" w:hAnsi="Arial" w:cs="Arial"/>
          <w:i/>
          <w:iCs/>
          <w:color w:val="000000"/>
          <w:lang w:val="en-GB"/>
        </w:rPr>
        <w:t xml:space="preserve">a measure relating to the execution of a sentence will be incompatible with Article 49(1) of the Charter only if it retroactively alters the actual scope of the penalty provided for on the day on which </w:t>
      </w:r>
      <w:r w:rsidR="00BA525A" w:rsidRPr="00A351AB">
        <w:rPr>
          <w:rFonts w:ascii="Arial" w:hAnsi="Arial" w:cs="Arial"/>
          <w:i/>
          <w:iCs/>
          <w:color w:val="000000"/>
          <w:lang w:val="en-GB"/>
        </w:rPr>
        <w:lastRenderedPageBreak/>
        <w:t>the offence at issue was committed, thus entailing the imposition of a heavier penalty than the one initially provided for</w:t>
      </w:r>
      <w:r w:rsidR="00BA525A" w:rsidRPr="00A351AB">
        <w:rPr>
          <w:rFonts w:ascii="Arial" w:hAnsi="Arial" w:cs="Arial"/>
          <w:color w:val="000000"/>
          <w:lang w:val="en-GB"/>
        </w:rPr>
        <w:t>” (§97).</w:t>
      </w:r>
    </w:p>
    <w:p w14:paraId="3070F276" w14:textId="77777777" w:rsidR="00BA525A" w:rsidRPr="00A351AB" w:rsidRDefault="00BA525A" w:rsidP="0036552D">
      <w:pPr>
        <w:spacing w:after="0" w:line="240" w:lineRule="auto"/>
        <w:jc w:val="both"/>
        <w:rPr>
          <w:rFonts w:ascii="Arial" w:hAnsi="Arial" w:cs="Arial"/>
          <w:color w:val="000000"/>
          <w:lang w:val="en-GB"/>
        </w:rPr>
      </w:pPr>
    </w:p>
    <w:p w14:paraId="74043B3D" w14:textId="422E5EC0" w:rsidR="00BA525A" w:rsidRPr="00A351AB" w:rsidRDefault="00624CAA" w:rsidP="0036552D">
      <w:pPr>
        <w:spacing w:after="0" w:line="240" w:lineRule="auto"/>
        <w:jc w:val="both"/>
        <w:rPr>
          <w:rFonts w:ascii="Arial" w:hAnsi="Arial" w:cs="Arial"/>
          <w:b/>
          <w:bCs/>
          <w:color w:val="000000"/>
          <w:lang w:val="en-GB"/>
        </w:rPr>
      </w:pPr>
      <w:r w:rsidRPr="00A351AB">
        <w:rPr>
          <w:rFonts w:ascii="Arial" w:hAnsi="Arial" w:cs="Arial"/>
          <w:b/>
          <w:bCs/>
          <w:color w:val="000000"/>
          <w:lang w:val="en-GB"/>
        </w:rPr>
        <w:t>Significance</w:t>
      </w:r>
    </w:p>
    <w:p w14:paraId="05074D5D" w14:textId="29C8877D" w:rsidR="00A351AB" w:rsidRPr="00A351AB" w:rsidRDefault="00BA525A" w:rsidP="0036552D">
      <w:pPr>
        <w:spacing w:after="0" w:line="240" w:lineRule="auto"/>
        <w:jc w:val="both"/>
        <w:rPr>
          <w:rFonts w:ascii="Arial" w:hAnsi="Arial" w:cs="Arial"/>
          <w:color w:val="000000"/>
          <w:lang w:val="en-GB"/>
        </w:rPr>
      </w:pPr>
      <w:r w:rsidRPr="00A351AB">
        <w:rPr>
          <w:rFonts w:ascii="Arial" w:hAnsi="Arial" w:cs="Arial"/>
          <w:color w:val="000000"/>
          <w:lang w:val="en-GB"/>
        </w:rPr>
        <w:t xml:space="preserve">Although the UK Government (who participated in the case under </w:t>
      </w:r>
      <w:hyperlink r:id="rId26" w:history="1">
        <w:r w:rsidRPr="00A351AB">
          <w:rPr>
            <w:rStyle w:val="Hipervnculo"/>
            <w:rFonts w:ascii="Arial" w:hAnsi="Arial" w:cs="Arial"/>
            <w:lang w:val="en-GB"/>
          </w:rPr>
          <w:t>Article 90 of the Withdrawal Agreement</w:t>
        </w:r>
      </w:hyperlink>
      <w:r w:rsidRPr="00A351AB">
        <w:rPr>
          <w:rFonts w:ascii="Arial" w:hAnsi="Arial" w:cs="Arial"/>
          <w:color w:val="000000"/>
          <w:lang w:val="en-GB"/>
        </w:rPr>
        <w:t xml:space="preserve">) </w:t>
      </w:r>
      <w:r w:rsidR="00A351AB" w:rsidRPr="00A351AB">
        <w:rPr>
          <w:rFonts w:ascii="Arial" w:hAnsi="Arial" w:cs="Arial"/>
          <w:color w:val="000000"/>
          <w:lang w:val="en-GB"/>
        </w:rPr>
        <w:t>succeeded in</w:t>
      </w:r>
      <w:r w:rsidRPr="00A351AB">
        <w:rPr>
          <w:rFonts w:ascii="Arial" w:hAnsi="Arial" w:cs="Arial"/>
          <w:color w:val="000000"/>
          <w:lang w:val="en-GB"/>
        </w:rPr>
        <w:t xml:space="preserve"> the substantive issue, the real importance of the case is what is says about surrender </w:t>
      </w:r>
      <w:r w:rsidRPr="00A351AB">
        <w:rPr>
          <w:rFonts w:ascii="Arial" w:hAnsi="Arial" w:cs="Arial"/>
          <w:color w:val="000000"/>
          <w:u w:val="single"/>
          <w:lang w:val="en-GB"/>
        </w:rPr>
        <w:t>to the UK</w:t>
      </w:r>
      <w:r w:rsidRPr="00A351AB">
        <w:rPr>
          <w:rFonts w:ascii="Arial" w:hAnsi="Arial" w:cs="Arial"/>
          <w:color w:val="000000"/>
          <w:lang w:val="en-GB"/>
        </w:rPr>
        <w:t>.</w:t>
      </w:r>
      <w:r w:rsidR="0013007F" w:rsidRPr="00A351AB">
        <w:rPr>
          <w:rFonts w:ascii="Arial" w:hAnsi="Arial" w:cs="Arial"/>
          <w:color w:val="000000"/>
          <w:lang w:val="en-GB"/>
        </w:rPr>
        <w:t xml:space="preserve"> </w:t>
      </w:r>
      <w:r w:rsidRPr="00A351AB">
        <w:rPr>
          <w:rFonts w:ascii="Arial" w:hAnsi="Arial" w:cs="Arial"/>
          <w:color w:val="000000"/>
          <w:lang w:val="en-GB"/>
        </w:rPr>
        <w:t xml:space="preserve">Stripping away the legalese, the Grand Chamber held that EU Member States cannot treat the UK in the same way as </w:t>
      </w:r>
      <w:r w:rsidR="00B03876">
        <w:rPr>
          <w:rFonts w:ascii="Arial" w:hAnsi="Arial" w:cs="Arial"/>
          <w:color w:val="000000"/>
          <w:lang w:val="en-GB"/>
        </w:rPr>
        <w:t>before</w:t>
      </w:r>
      <w:r w:rsidRPr="00A351AB">
        <w:rPr>
          <w:rFonts w:ascii="Arial" w:hAnsi="Arial" w:cs="Arial"/>
          <w:color w:val="000000"/>
          <w:lang w:val="en-GB"/>
        </w:rPr>
        <w:t xml:space="preserve">. </w:t>
      </w:r>
      <w:r w:rsidR="00A351AB" w:rsidRPr="00A351AB">
        <w:rPr>
          <w:rFonts w:ascii="Arial" w:hAnsi="Arial" w:cs="Arial"/>
          <w:color w:val="000000"/>
          <w:lang w:val="en-GB"/>
        </w:rPr>
        <w:t xml:space="preserve">There is no longer a presumption that that the UK, including its courts, are bound the same legal obligations as </w:t>
      </w:r>
      <w:r w:rsidR="00B03876">
        <w:rPr>
          <w:rFonts w:ascii="Arial" w:hAnsi="Arial" w:cs="Arial"/>
          <w:color w:val="000000"/>
          <w:lang w:val="en-GB"/>
        </w:rPr>
        <w:t>the</w:t>
      </w:r>
      <w:r w:rsidR="00A351AB" w:rsidRPr="00A351AB">
        <w:rPr>
          <w:rFonts w:ascii="Arial" w:hAnsi="Arial" w:cs="Arial"/>
          <w:color w:val="000000"/>
          <w:lang w:val="en-GB"/>
        </w:rPr>
        <w:t xml:space="preserve"> Member States and, as such, fundamental rights </w:t>
      </w:r>
      <w:r w:rsidR="00B03876">
        <w:rPr>
          <w:rFonts w:ascii="Arial" w:hAnsi="Arial" w:cs="Arial"/>
          <w:color w:val="000000"/>
          <w:lang w:val="en-GB"/>
        </w:rPr>
        <w:t>will receive equivalent protection</w:t>
      </w:r>
      <w:r w:rsidR="00A351AB" w:rsidRPr="00A351AB">
        <w:rPr>
          <w:rFonts w:ascii="Arial" w:hAnsi="Arial" w:cs="Arial"/>
          <w:color w:val="000000"/>
          <w:lang w:val="en-GB"/>
        </w:rPr>
        <w:t>.</w:t>
      </w:r>
    </w:p>
    <w:p w14:paraId="34000BB1" w14:textId="77777777" w:rsidR="00A351AB" w:rsidRPr="00A351AB" w:rsidRDefault="00A351AB" w:rsidP="0036552D">
      <w:pPr>
        <w:spacing w:after="0" w:line="240" w:lineRule="auto"/>
        <w:jc w:val="both"/>
        <w:rPr>
          <w:rFonts w:ascii="Arial" w:hAnsi="Arial" w:cs="Arial"/>
          <w:color w:val="000000"/>
          <w:lang w:val="en-GB"/>
        </w:rPr>
      </w:pPr>
    </w:p>
    <w:p w14:paraId="0B0BD16F" w14:textId="432FCB7D" w:rsidR="0013007F" w:rsidRPr="00B03876" w:rsidRDefault="0013007F" w:rsidP="0036552D">
      <w:pPr>
        <w:spacing w:after="0" w:line="240" w:lineRule="auto"/>
        <w:jc w:val="both"/>
        <w:rPr>
          <w:rFonts w:ascii="Arial" w:hAnsi="Arial" w:cs="Arial"/>
          <w:color w:val="000000"/>
          <w:lang w:val="en-GB"/>
        </w:rPr>
      </w:pPr>
      <w:r w:rsidRPr="00A351AB">
        <w:rPr>
          <w:rFonts w:ascii="Arial" w:hAnsi="Arial" w:cs="Arial"/>
          <w:color w:val="000000"/>
          <w:lang w:val="en-GB"/>
        </w:rPr>
        <w:t xml:space="preserve">Some of the CJEU’s logic appears “shaky”. Cyprus and Ireland are not participants in many aspects of the Schengen </w:t>
      </w:r>
      <w:r w:rsidRPr="00A351AB">
        <w:rPr>
          <w:rFonts w:ascii="Arial" w:hAnsi="Arial" w:cs="Arial"/>
          <w:i/>
          <w:iCs/>
          <w:color w:val="000000"/>
          <w:lang w:val="en-GB"/>
        </w:rPr>
        <w:t>acquis,</w:t>
      </w:r>
      <w:r w:rsidRPr="00A351AB">
        <w:rPr>
          <w:rFonts w:ascii="Arial" w:hAnsi="Arial" w:cs="Arial"/>
          <w:color w:val="000000"/>
          <w:lang w:val="en-GB"/>
        </w:rPr>
        <w:t xml:space="preserve"> but the mutual trust afforded to them is greater than Norway.</w:t>
      </w:r>
      <w:r w:rsidR="00B03876">
        <w:rPr>
          <w:rFonts w:ascii="Arial" w:hAnsi="Arial" w:cs="Arial"/>
          <w:color w:val="000000"/>
          <w:lang w:val="en-GB"/>
        </w:rPr>
        <w:t xml:space="preserve"> Moreover,</w:t>
      </w:r>
      <w:r w:rsidRPr="00A351AB">
        <w:rPr>
          <w:rFonts w:ascii="Arial" w:hAnsi="Arial" w:cs="Arial"/>
          <w:color w:val="000000"/>
          <w:lang w:val="en-GB"/>
        </w:rPr>
        <w:t xml:space="preserve"> </w:t>
      </w:r>
      <w:hyperlink r:id="rId27" w:history="1">
        <w:r w:rsidR="00B03876" w:rsidRPr="00B03876">
          <w:rPr>
            <w:rStyle w:val="Hipervnculo"/>
            <w:rFonts w:ascii="Arial" w:hAnsi="Arial" w:cs="Arial"/>
            <w:lang w:val="en-GB"/>
          </w:rPr>
          <w:t>The EU and Iceland/Norway Surrender Agreement 2006</w:t>
        </w:r>
      </w:hyperlink>
      <w:r w:rsidR="00B03876">
        <w:rPr>
          <w:rFonts w:ascii="Arial" w:hAnsi="Arial" w:cs="Arial"/>
          <w:color w:val="000000"/>
          <w:lang w:val="en-GB"/>
        </w:rPr>
        <w:t xml:space="preserve"> contains a political offence exception (Article 6) and a nationality exception (Article 7), </w:t>
      </w:r>
      <w:r w:rsidR="001978AF">
        <w:rPr>
          <w:rFonts w:ascii="Arial" w:hAnsi="Arial" w:cs="Arial"/>
          <w:color w:val="000000"/>
          <w:lang w:val="en-GB"/>
        </w:rPr>
        <w:t>rather</w:t>
      </w:r>
      <w:r w:rsidR="00B03876">
        <w:rPr>
          <w:rFonts w:ascii="Arial" w:hAnsi="Arial" w:cs="Arial"/>
          <w:color w:val="000000"/>
          <w:lang w:val="en-GB"/>
        </w:rPr>
        <w:t xml:space="preserve"> like the TCA. </w:t>
      </w:r>
      <w:r w:rsidRPr="00A351AB">
        <w:rPr>
          <w:rFonts w:ascii="Arial" w:hAnsi="Arial" w:cs="Arial"/>
          <w:color w:val="000000"/>
          <w:lang w:val="en-GB"/>
        </w:rPr>
        <w:t>Equally, the inclusion of Article 604(c) TCA</w:t>
      </w:r>
      <w:r w:rsidR="001978AF">
        <w:rPr>
          <w:rFonts w:ascii="Arial" w:hAnsi="Arial" w:cs="Arial"/>
          <w:color w:val="000000"/>
          <w:lang w:val="en-GB"/>
        </w:rPr>
        <w:t xml:space="preserve"> (</w:t>
      </w:r>
      <w:r w:rsidRPr="00A351AB">
        <w:rPr>
          <w:rFonts w:ascii="Arial" w:hAnsi="Arial" w:cs="Arial"/>
          <w:color w:val="000000"/>
          <w:lang w:val="en-GB"/>
        </w:rPr>
        <w:t>the basis to seek a fundamental rights guarantee</w:t>
      </w:r>
      <w:r w:rsidR="001978AF">
        <w:rPr>
          <w:rFonts w:ascii="Arial" w:hAnsi="Arial" w:cs="Arial"/>
          <w:color w:val="000000"/>
          <w:lang w:val="en-GB"/>
        </w:rPr>
        <w:t>)</w:t>
      </w:r>
      <w:r w:rsidRPr="00A351AB">
        <w:rPr>
          <w:rFonts w:ascii="Arial" w:hAnsi="Arial" w:cs="Arial"/>
          <w:color w:val="000000"/>
          <w:lang w:val="en-GB"/>
        </w:rPr>
        <w:t xml:space="preserve"> </w:t>
      </w:r>
      <w:r w:rsidR="00B03876">
        <w:rPr>
          <w:rFonts w:ascii="Arial" w:hAnsi="Arial" w:cs="Arial"/>
          <w:color w:val="000000"/>
          <w:lang w:val="en-GB"/>
        </w:rPr>
        <w:t>serves as</w:t>
      </w:r>
      <w:r w:rsidR="00A351AB" w:rsidRPr="00A351AB">
        <w:rPr>
          <w:rFonts w:ascii="Arial" w:hAnsi="Arial" w:cs="Arial"/>
          <w:color w:val="000000"/>
          <w:lang w:val="en-GB"/>
        </w:rPr>
        <w:t xml:space="preserve"> a “development</w:t>
      </w:r>
      <w:r w:rsidR="00B03876">
        <w:rPr>
          <w:rFonts w:ascii="Arial" w:hAnsi="Arial" w:cs="Arial"/>
          <w:color w:val="000000"/>
          <w:lang w:val="en-GB"/>
        </w:rPr>
        <w:t xml:space="preserve"> following practice</w:t>
      </w:r>
      <w:r w:rsidR="00A351AB" w:rsidRPr="00A351AB">
        <w:rPr>
          <w:rFonts w:ascii="Arial" w:hAnsi="Arial" w:cs="Arial"/>
          <w:color w:val="000000"/>
          <w:lang w:val="en-GB"/>
        </w:rPr>
        <w:t xml:space="preserve">” </w:t>
      </w:r>
      <w:r w:rsidRPr="00A351AB">
        <w:rPr>
          <w:rFonts w:ascii="Arial" w:hAnsi="Arial" w:cs="Arial"/>
          <w:color w:val="000000"/>
          <w:lang w:val="en-GB"/>
        </w:rPr>
        <w:t>which was not envisaged when the EAW Framework Decision came into force. There is a geeky point for EU law aficionados too. Whilst the Advocate General held that the TCA</w:t>
      </w:r>
      <w:r w:rsidR="00A351AB" w:rsidRPr="00A351AB">
        <w:rPr>
          <w:rFonts w:ascii="Arial" w:hAnsi="Arial" w:cs="Arial"/>
          <w:color w:val="000000"/>
          <w:lang w:val="en-GB"/>
        </w:rPr>
        <w:t xml:space="preserve"> surrender provisions</w:t>
      </w:r>
      <w:r w:rsidRPr="00A351AB">
        <w:rPr>
          <w:rFonts w:ascii="Arial" w:hAnsi="Arial" w:cs="Arial"/>
          <w:color w:val="000000"/>
          <w:lang w:val="en-GB"/>
        </w:rPr>
        <w:t xml:space="preserve"> created direct effect </w:t>
      </w:r>
      <w:r w:rsidRPr="00A351AB">
        <w:rPr>
          <w:rFonts w:ascii="Arial" w:hAnsi="Arial" w:cs="Arial"/>
          <w:color w:val="000000" w:themeColor="text1"/>
          <w:lang w:val="en-GB"/>
        </w:rPr>
        <w:t>(</w:t>
      </w:r>
      <w:hyperlink r:id="rId28" w:history="1">
        <w:r w:rsidRPr="00A351AB">
          <w:rPr>
            <w:rStyle w:val="Hipervnculo"/>
            <w:rFonts w:ascii="Arial" w:hAnsi="Arial" w:cs="Arial"/>
            <w:lang w:val="en-GB"/>
          </w:rPr>
          <w:t>§56; ECLI:EU:C:2024:559</w:t>
        </w:r>
      </w:hyperlink>
      <w:r w:rsidRPr="00A351AB">
        <w:rPr>
          <w:rFonts w:ascii="Arial" w:hAnsi="Arial" w:cs="Arial"/>
          <w:color w:val="000000" w:themeColor="text1"/>
          <w:lang w:val="en-GB"/>
        </w:rPr>
        <w:t xml:space="preserve">), the CJEU “skipped over” </w:t>
      </w:r>
      <w:r w:rsidR="00A351AB" w:rsidRPr="00A351AB">
        <w:rPr>
          <w:rFonts w:ascii="Arial" w:hAnsi="Arial" w:cs="Arial"/>
          <w:color w:val="000000" w:themeColor="text1"/>
          <w:lang w:val="en-GB"/>
        </w:rPr>
        <w:t>his</w:t>
      </w:r>
      <w:r w:rsidRPr="00A351AB">
        <w:rPr>
          <w:rFonts w:ascii="Arial" w:hAnsi="Arial" w:cs="Arial"/>
          <w:color w:val="000000" w:themeColor="text1"/>
          <w:lang w:val="en-GB"/>
        </w:rPr>
        <w:t xml:space="preserve"> observation, presumably to avoid </w:t>
      </w:r>
      <w:r w:rsidR="00A351AB" w:rsidRPr="00A351AB">
        <w:rPr>
          <w:rFonts w:ascii="Arial" w:hAnsi="Arial" w:cs="Arial"/>
          <w:color w:val="000000" w:themeColor="text1"/>
          <w:lang w:val="en-GB"/>
        </w:rPr>
        <w:t>indicating</w:t>
      </w:r>
      <w:r w:rsidRPr="00A351AB">
        <w:rPr>
          <w:rFonts w:ascii="Arial" w:hAnsi="Arial" w:cs="Arial"/>
          <w:color w:val="000000" w:themeColor="text1"/>
          <w:lang w:val="en-GB"/>
        </w:rPr>
        <w:t xml:space="preserve"> that the TCA created directly applicable rights, whereas the EAW Framework Decision famously does not.</w:t>
      </w:r>
    </w:p>
    <w:p w14:paraId="7651203F" w14:textId="77777777" w:rsidR="00A351AB" w:rsidRPr="00A351AB" w:rsidRDefault="00A351AB" w:rsidP="0036552D">
      <w:pPr>
        <w:spacing w:after="0" w:line="240" w:lineRule="auto"/>
        <w:jc w:val="both"/>
        <w:rPr>
          <w:rFonts w:ascii="Arial" w:hAnsi="Arial" w:cs="Arial"/>
          <w:color w:val="000000" w:themeColor="text1"/>
          <w:lang w:val="en-GB"/>
        </w:rPr>
      </w:pPr>
    </w:p>
    <w:p w14:paraId="6FBFE300" w14:textId="676B4666" w:rsidR="00A351AB" w:rsidRPr="00A351AB" w:rsidRDefault="001978AF" w:rsidP="0036552D">
      <w:pPr>
        <w:spacing w:after="0" w:line="240" w:lineRule="auto"/>
        <w:jc w:val="both"/>
        <w:rPr>
          <w:rFonts w:ascii="Arial" w:hAnsi="Arial" w:cs="Arial"/>
          <w:color w:val="000000" w:themeColor="text1"/>
          <w:lang w:val="en-GB"/>
        </w:rPr>
      </w:pPr>
      <w:r>
        <w:rPr>
          <w:rFonts w:ascii="Arial" w:hAnsi="Arial" w:cs="Arial"/>
          <w:color w:val="000000" w:themeColor="text1"/>
          <w:lang w:val="en-GB"/>
        </w:rPr>
        <w:t>Some</w:t>
      </w:r>
      <w:r w:rsidR="00A351AB" w:rsidRPr="00A351AB">
        <w:rPr>
          <w:rFonts w:ascii="Arial" w:hAnsi="Arial" w:cs="Arial"/>
          <w:color w:val="000000" w:themeColor="text1"/>
          <w:lang w:val="en-GB"/>
        </w:rPr>
        <w:t xml:space="preserve"> will say that </w:t>
      </w:r>
      <w:proofErr w:type="spellStart"/>
      <w:r w:rsidR="00A351AB" w:rsidRPr="00A351AB">
        <w:rPr>
          <w:rFonts w:ascii="Arial" w:hAnsi="Arial" w:cs="Arial"/>
          <w:b/>
          <w:bCs/>
          <w:i/>
          <w:iCs/>
          <w:color w:val="000000" w:themeColor="text1"/>
          <w:lang w:val="en-GB"/>
        </w:rPr>
        <w:t>Alchaster</w:t>
      </w:r>
      <w:proofErr w:type="spellEnd"/>
      <w:r w:rsidR="00A351AB" w:rsidRPr="00A351AB">
        <w:rPr>
          <w:rFonts w:ascii="Arial" w:hAnsi="Arial" w:cs="Arial"/>
          <w:b/>
          <w:bCs/>
          <w:i/>
          <w:iCs/>
          <w:color w:val="000000" w:themeColor="text1"/>
          <w:lang w:val="en-GB"/>
        </w:rPr>
        <w:t xml:space="preserve"> </w:t>
      </w:r>
      <w:r w:rsidR="00A351AB" w:rsidRPr="00A351AB">
        <w:rPr>
          <w:rFonts w:ascii="Arial" w:hAnsi="Arial" w:cs="Arial"/>
          <w:color w:val="000000" w:themeColor="text1"/>
          <w:lang w:val="en-GB"/>
        </w:rPr>
        <w:t xml:space="preserve">should be applied </w:t>
      </w:r>
      <w:r w:rsidR="00A351AB" w:rsidRPr="00A351AB">
        <w:rPr>
          <w:rFonts w:ascii="Arial" w:hAnsi="Arial" w:cs="Arial"/>
          <w:color w:val="000000" w:themeColor="text1"/>
          <w:u w:val="single"/>
          <w:lang w:val="en-GB"/>
        </w:rPr>
        <w:t>within</w:t>
      </w:r>
      <w:r w:rsidR="00A351AB" w:rsidRPr="00A351AB">
        <w:rPr>
          <w:rFonts w:ascii="Arial" w:hAnsi="Arial" w:cs="Arial"/>
          <w:color w:val="000000" w:themeColor="text1"/>
          <w:lang w:val="en-GB"/>
        </w:rPr>
        <w:t xml:space="preserve"> the EU. The area of freedom, security and justice, and the principle of mutual trust and mutual recognition, operate as a convenient legal fiction to maintain </w:t>
      </w:r>
      <w:r>
        <w:rPr>
          <w:rFonts w:ascii="Arial" w:hAnsi="Arial" w:cs="Arial"/>
          <w:color w:val="000000" w:themeColor="text1"/>
          <w:lang w:val="en-GB"/>
        </w:rPr>
        <w:t>the</w:t>
      </w:r>
      <w:r w:rsidR="00B03876">
        <w:rPr>
          <w:rFonts w:ascii="Arial" w:hAnsi="Arial" w:cs="Arial"/>
          <w:color w:val="000000" w:themeColor="text1"/>
          <w:lang w:val="en-GB"/>
        </w:rPr>
        <w:t xml:space="preserve"> </w:t>
      </w:r>
      <w:r>
        <w:rPr>
          <w:rFonts w:ascii="Arial" w:hAnsi="Arial" w:cs="Arial"/>
          <w:color w:val="000000" w:themeColor="text1"/>
          <w:lang w:val="en-GB"/>
        </w:rPr>
        <w:t>“</w:t>
      </w:r>
      <w:r w:rsidR="00A351AB" w:rsidRPr="00A351AB">
        <w:rPr>
          <w:rFonts w:ascii="Arial" w:hAnsi="Arial" w:cs="Arial"/>
          <w:color w:val="000000" w:themeColor="text1"/>
          <w:lang w:val="en-GB"/>
        </w:rPr>
        <w:t>momentum</w:t>
      </w:r>
      <w:r>
        <w:rPr>
          <w:rFonts w:ascii="Arial" w:hAnsi="Arial" w:cs="Arial"/>
          <w:color w:val="000000" w:themeColor="text1"/>
          <w:lang w:val="en-GB"/>
        </w:rPr>
        <w:t>”</w:t>
      </w:r>
      <w:r w:rsidR="00B03876">
        <w:rPr>
          <w:rFonts w:ascii="Arial" w:hAnsi="Arial" w:cs="Arial"/>
          <w:color w:val="000000" w:themeColor="text1"/>
          <w:lang w:val="en-GB"/>
        </w:rPr>
        <w:t xml:space="preserve"> </w:t>
      </w:r>
      <w:r>
        <w:rPr>
          <w:rFonts w:ascii="Arial" w:hAnsi="Arial" w:cs="Arial"/>
          <w:color w:val="000000" w:themeColor="text1"/>
          <w:lang w:val="en-GB"/>
        </w:rPr>
        <w:t>of</w:t>
      </w:r>
      <w:r w:rsidR="00B03876">
        <w:rPr>
          <w:rFonts w:ascii="Arial" w:hAnsi="Arial" w:cs="Arial"/>
          <w:color w:val="000000" w:themeColor="text1"/>
          <w:lang w:val="en-GB"/>
        </w:rPr>
        <w:t xml:space="preserve"> surrender</w:t>
      </w:r>
      <w:r w:rsidR="00A351AB" w:rsidRPr="00A351AB">
        <w:rPr>
          <w:rFonts w:ascii="Arial" w:hAnsi="Arial" w:cs="Arial"/>
          <w:color w:val="000000" w:themeColor="text1"/>
          <w:lang w:val="en-GB"/>
        </w:rPr>
        <w:t xml:space="preserve">. </w:t>
      </w:r>
      <w:r w:rsidR="00B03876">
        <w:rPr>
          <w:rFonts w:ascii="Arial" w:hAnsi="Arial" w:cs="Arial"/>
          <w:color w:val="000000" w:themeColor="text1"/>
          <w:lang w:val="en-GB"/>
        </w:rPr>
        <w:t>Instead, e</w:t>
      </w:r>
      <w:r w:rsidR="00A351AB" w:rsidRPr="00A351AB">
        <w:rPr>
          <w:rFonts w:ascii="Arial" w:hAnsi="Arial" w:cs="Arial"/>
          <w:color w:val="000000" w:themeColor="text1"/>
          <w:lang w:val="en-GB"/>
        </w:rPr>
        <w:t xml:space="preserve">xecuting judicial authorities should analyse the information adduced before them </w:t>
      </w:r>
      <w:proofErr w:type="gramStart"/>
      <w:r w:rsidR="00A351AB" w:rsidRPr="00A351AB">
        <w:rPr>
          <w:rFonts w:ascii="Arial" w:hAnsi="Arial" w:cs="Arial"/>
          <w:color w:val="000000" w:themeColor="text1"/>
          <w:lang w:val="en-GB"/>
        </w:rPr>
        <w:t>in light of</w:t>
      </w:r>
      <w:proofErr w:type="gramEnd"/>
      <w:r w:rsidR="00A351AB" w:rsidRPr="00A351AB">
        <w:rPr>
          <w:rFonts w:ascii="Arial" w:hAnsi="Arial" w:cs="Arial"/>
          <w:color w:val="000000" w:themeColor="text1"/>
          <w:lang w:val="en-GB"/>
        </w:rPr>
        <w:t xml:space="preserve"> a requested person’s situation without applying a “strong presumption” of compliance</w:t>
      </w:r>
      <w:r w:rsidR="00B03876">
        <w:rPr>
          <w:rFonts w:ascii="Arial" w:hAnsi="Arial" w:cs="Arial"/>
          <w:color w:val="000000" w:themeColor="text1"/>
          <w:lang w:val="en-GB"/>
        </w:rPr>
        <w:t xml:space="preserve"> with the Charter together with an </w:t>
      </w:r>
      <w:r w:rsidR="00A351AB">
        <w:rPr>
          <w:rFonts w:ascii="Arial" w:hAnsi="Arial" w:cs="Arial"/>
          <w:color w:val="000000" w:themeColor="text1"/>
          <w:lang w:val="en-GB"/>
        </w:rPr>
        <w:t xml:space="preserve">inclination </w:t>
      </w:r>
      <w:r w:rsidR="00A351AB" w:rsidRPr="00B03876">
        <w:rPr>
          <w:rFonts w:ascii="Arial" w:hAnsi="Arial" w:cs="Arial"/>
          <w:color w:val="000000" w:themeColor="text1"/>
          <w:u w:val="single"/>
          <w:lang w:val="en-GB"/>
        </w:rPr>
        <w:t>not</w:t>
      </w:r>
      <w:r w:rsidR="00A351AB">
        <w:rPr>
          <w:rFonts w:ascii="Arial" w:hAnsi="Arial" w:cs="Arial"/>
          <w:color w:val="000000" w:themeColor="text1"/>
          <w:lang w:val="en-GB"/>
        </w:rPr>
        <w:t xml:space="preserve"> to </w:t>
      </w:r>
      <w:r>
        <w:rPr>
          <w:rFonts w:ascii="Arial" w:hAnsi="Arial" w:cs="Arial"/>
          <w:color w:val="000000" w:themeColor="text1"/>
          <w:lang w:val="en-GB"/>
        </w:rPr>
        <w:t xml:space="preserve">“look into” </w:t>
      </w:r>
      <w:r w:rsidR="00A351AB">
        <w:rPr>
          <w:rFonts w:ascii="Arial" w:hAnsi="Arial" w:cs="Arial"/>
          <w:color w:val="000000" w:themeColor="text1"/>
          <w:lang w:val="en-GB"/>
        </w:rPr>
        <w:t>matters in another Member State</w:t>
      </w:r>
      <w:r w:rsidR="00A351AB" w:rsidRPr="00A351AB">
        <w:rPr>
          <w:rFonts w:ascii="Arial" w:hAnsi="Arial" w:cs="Arial"/>
          <w:color w:val="000000" w:themeColor="text1"/>
          <w:lang w:val="en-GB"/>
        </w:rPr>
        <w:t>.</w:t>
      </w:r>
      <w:r w:rsidR="00B03876">
        <w:rPr>
          <w:rFonts w:ascii="Arial" w:hAnsi="Arial" w:cs="Arial"/>
          <w:color w:val="000000" w:themeColor="text1"/>
          <w:lang w:val="en-GB"/>
        </w:rPr>
        <w:t xml:space="preserve"> Indeed,</w:t>
      </w:r>
      <w:r w:rsidR="00A351AB" w:rsidRPr="00A351AB">
        <w:rPr>
          <w:rFonts w:ascii="Arial" w:hAnsi="Arial" w:cs="Arial"/>
          <w:color w:val="000000" w:themeColor="text1"/>
          <w:lang w:val="en-GB"/>
        </w:rPr>
        <w:t xml:space="preserve"> </w:t>
      </w:r>
      <w:proofErr w:type="spellStart"/>
      <w:r w:rsidR="00A351AB" w:rsidRPr="00A351AB">
        <w:rPr>
          <w:rFonts w:ascii="Arial" w:hAnsi="Arial" w:cs="Arial"/>
          <w:b/>
          <w:bCs/>
          <w:i/>
          <w:iCs/>
          <w:color w:val="000000" w:themeColor="text1"/>
          <w:lang w:val="en-GB"/>
        </w:rPr>
        <w:t>Alchaster</w:t>
      </w:r>
      <w:proofErr w:type="spellEnd"/>
      <w:r w:rsidR="00A351AB" w:rsidRPr="00A351AB">
        <w:rPr>
          <w:rFonts w:ascii="Arial" w:hAnsi="Arial" w:cs="Arial"/>
          <w:color w:val="000000" w:themeColor="text1"/>
          <w:lang w:val="en-GB"/>
        </w:rPr>
        <w:t xml:space="preserve"> does not favour mistrust, and</w:t>
      </w:r>
      <w:r w:rsidR="00B03876">
        <w:rPr>
          <w:rFonts w:ascii="Arial" w:hAnsi="Arial" w:cs="Arial"/>
          <w:color w:val="000000" w:themeColor="text1"/>
          <w:lang w:val="en-GB"/>
        </w:rPr>
        <w:t xml:space="preserve"> </w:t>
      </w:r>
      <w:r w:rsidR="00A351AB" w:rsidRPr="00A351AB">
        <w:rPr>
          <w:rFonts w:ascii="Arial" w:hAnsi="Arial" w:cs="Arial"/>
          <w:color w:val="000000" w:themeColor="text1"/>
          <w:lang w:val="en-GB"/>
        </w:rPr>
        <w:t xml:space="preserve">gives </w:t>
      </w:r>
      <w:r w:rsidR="00B03876">
        <w:rPr>
          <w:rFonts w:ascii="Arial" w:hAnsi="Arial" w:cs="Arial"/>
          <w:color w:val="000000" w:themeColor="text1"/>
          <w:u w:val="single"/>
          <w:lang w:val="en-GB"/>
        </w:rPr>
        <w:t xml:space="preserve">some </w:t>
      </w:r>
      <w:r w:rsidR="00A351AB" w:rsidRPr="00A351AB">
        <w:rPr>
          <w:rFonts w:ascii="Arial" w:hAnsi="Arial" w:cs="Arial"/>
          <w:color w:val="000000" w:themeColor="text1"/>
          <w:lang w:val="en-GB"/>
        </w:rPr>
        <w:t>weight to</w:t>
      </w:r>
      <w:r w:rsidR="00B03876">
        <w:rPr>
          <w:rFonts w:ascii="Arial" w:hAnsi="Arial" w:cs="Arial"/>
          <w:color w:val="000000" w:themeColor="text1"/>
          <w:lang w:val="en-GB"/>
        </w:rPr>
        <w:t xml:space="preserve"> mutual values and</w:t>
      </w:r>
      <w:r w:rsidR="00A351AB" w:rsidRPr="00A351AB">
        <w:rPr>
          <w:rFonts w:ascii="Arial" w:hAnsi="Arial" w:cs="Arial"/>
          <w:color w:val="000000" w:themeColor="text1"/>
          <w:lang w:val="en-GB"/>
        </w:rPr>
        <w:t xml:space="preserve"> fundamental rights protection, </w:t>
      </w:r>
      <w:r w:rsidR="00A351AB">
        <w:rPr>
          <w:rFonts w:ascii="Arial" w:hAnsi="Arial" w:cs="Arial"/>
          <w:color w:val="000000" w:themeColor="text1"/>
          <w:lang w:val="en-GB"/>
        </w:rPr>
        <w:t xml:space="preserve">but </w:t>
      </w:r>
      <w:r w:rsidR="00B03876">
        <w:rPr>
          <w:rFonts w:ascii="Arial" w:hAnsi="Arial" w:cs="Arial"/>
          <w:color w:val="000000" w:themeColor="text1"/>
          <w:lang w:val="en-GB"/>
        </w:rPr>
        <w:t xml:space="preserve">these principles are </w:t>
      </w:r>
      <w:r w:rsidR="005A1ED4">
        <w:rPr>
          <w:rFonts w:ascii="Arial" w:hAnsi="Arial" w:cs="Arial"/>
          <w:color w:val="000000" w:themeColor="text1"/>
          <w:lang w:val="en-GB"/>
        </w:rPr>
        <w:t>not doctrinal.</w:t>
      </w:r>
      <w:r w:rsidR="00A351AB" w:rsidRPr="00A351AB">
        <w:rPr>
          <w:rFonts w:ascii="Arial" w:hAnsi="Arial" w:cs="Arial"/>
          <w:color w:val="000000" w:themeColor="text1"/>
          <w:lang w:val="en-GB"/>
        </w:rPr>
        <w:t xml:space="preserve"> </w:t>
      </w:r>
    </w:p>
    <w:p w14:paraId="142CC702" w14:textId="3EEC0327" w:rsidR="00BA525A" w:rsidRPr="00A351AB" w:rsidRDefault="00BA525A" w:rsidP="0036552D">
      <w:pPr>
        <w:spacing w:after="0" w:line="240" w:lineRule="auto"/>
        <w:jc w:val="both"/>
        <w:rPr>
          <w:rFonts w:ascii="Arial" w:hAnsi="Arial" w:cs="Arial"/>
          <w:color w:val="000000"/>
          <w:lang w:val="en-GB"/>
        </w:rPr>
      </w:pPr>
    </w:p>
    <w:p w14:paraId="17FA5839" w14:textId="7AA9EBB0" w:rsidR="00BA525A" w:rsidRPr="00A351AB" w:rsidRDefault="00BA525A" w:rsidP="0036552D">
      <w:pPr>
        <w:spacing w:after="0" w:line="240" w:lineRule="auto"/>
        <w:jc w:val="both"/>
        <w:rPr>
          <w:rFonts w:ascii="Arial" w:hAnsi="Arial" w:cs="Arial"/>
          <w:color w:val="000000"/>
          <w:lang w:val="en-GB"/>
        </w:rPr>
      </w:pPr>
      <w:r w:rsidRPr="00A351AB">
        <w:rPr>
          <w:rFonts w:ascii="Arial" w:hAnsi="Arial" w:cs="Arial"/>
          <w:color w:val="000000"/>
          <w:lang w:val="en-GB"/>
        </w:rPr>
        <w:t xml:space="preserve">In respect of the UK, this case presents quite a conundrum. </w:t>
      </w:r>
      <w:r w:rsidR="00B03876">
        <w:rPr>
          <w:rFonts w:ascii="Arial" w:hAnsi="Arial" w:cs="Arial"/>
          <w:color w:val="000000"/>
          <w:lang w:val="en-GB"/>
        </w:rPr>
        <w:t>In England and Wales, we</w:t>
      </w:r>
      <w:r w:rsidRPr="00A351AB">
        <w:rPr>
          <w:rFonts w:ascii="Arial" w:hAnsi="Arial" w:cs="Arial"/>
          <w:color w:val="000000"/>
          <w:lang w:val="en-GB"/>
        </w:rPr>
        <w:t xml:space="preserve"> still </w:t>
      </w:r>
      <w:r w:rsidR="00624CAA" w:rsidRPr="00A351AB">
        <w:rPr>
          <w:rFonts w:ascii="Arial" w:hAnsi="Arial" w:cs="Arial"/>
          <w:color w:val="000000"/>
          <w:lang w:val="en-GB"/>
        </w:rPr>
        <w:t xml:space="preserve">apply the principles in </w:t>
      </w:r>
      <w:proofErr w:type="gramStart"/>
      <w:r w:rsidR="00624CAA" w:rsidRPr="00A351AB">
        <w:rPr>
          <w:rFonts w:ascii="Arial" w:hAnsi="Arial" w:cs="Arial"/>
          <w:b/>
          <w:bCs/>
          <w:i/>
          <w:iCs/>
          <w:color w:val="000000"/>
          <w:lang w:val="en-GB"/>
        </w:rPr>
        <w:t>Aranyosi</w:t>
      </w:r>
      <w:proofErr w:type="gramEnd"/>
      <w:r w:rsidR="00624CAA" w:rsidRPr="00A351AB">
        <w:rPr>
          <w:rFonts w:ascii="Arial" w:hAnsi="Arial" w:cs="Arial"/>
          <w:color w:val="000000"/>
          <w:lang w:val="en-GB"/>
        </w:rPr>
        <w:t xml:space="preserve"> and mutual trust and mutual recognition remain part and parcel of the post-Brexit</w:t>
      </w:r>
      <w:r w:rsidR="009B016B" w:rsidRPr="009B016B">
        <w:rPr>
          <w:rFonts w:ascii="Arial" w:hAnsi="Arial" w:cs="Arial"/>
          <w:color w:val="000000"/>
          <w:lang w:val="en-GB"/>
        </w:rPr>
        <w:t xml:space="preserve"> </w:t>
      </w:r>
      <w:r w:rsidR="005A1ED4">
        <w:rPr>
          <w:rFonts w:ascii="Arial" w:hAnsi="Arial" w:cs="Arial"/>
          <w:color w:val="000000"/>
          <w:lang w:val="en-GB"/>
        </w:rPr>
        <w:t>“</w:t>
      </w:r>
      <w:r w:rsidR="009B016B" w:rsidRPr="00A351AB">
        <w:rPr>
          <w:rFonts w:ascii="Arial" w:hAnsi="Arial" w:cs="Arial"/>
          <w:color w:val="000000"/>
          <w:lang w:val="en-GB"/>
        </w:rPr>
        <w:t>judicial lexicon</w:t>
      </w:r>
      <w:r w:rsidR="005A1ED4">
        <w:rPr>
          <w:rFonts w:ascii="Arial" w:hAnsi="Arial" w:cs="Arial"/>
          <w:color w:val="000000"/>
          <w:lang w:val="en-GB"/>
        </w:rPr>
        <w:t>”</w:t>
      </w:r>
      <w:r w:rsidR="00624CAA" w:rsidRPr="00A351AB">
        <w:rPr>
          <w:rFonts w:ascii="Arial" w:hAnsi="Arial" w:cs="Arial"/>
          <w:color w:val="000000"/>
          <w:lang w:val="en-GB"/>
        </w:rPr>
        <w:t>. After all, the EU Member States remain bound by the same substantive law as before</w:t>
      </w:r>
      <w:r w:rsidR="009B016B">
        <w:rPr>
          <w:rFonts w:ascii="Arial" w:hAnsi="Arial" w:cs="Arial"/>
          <w:color w:val="000000"/>
          <w:lang w:val="en-GB"/>
        </w:rPr>
        <w:t>hand</w:t>
      </w:r>
      <w:r w:rsidR="00624CAA" w:rsidRPr="00A351AB">
        <w:rPr>
          <w:rFonts w:ascii="Arial" w:hAnsi="Arial" w:cs="Arial"/>
          <w:color w:val="000000"/>
          <w:lang w:val="en-GB"/>
        </w:rPr>
        <w:t xml:space="preserve">. Cases like </w:t>
      </w:r>
      <w:hyperlink r:id="rId29" w:history="1">
        <w:r w:rsidR="00624CAA" w:rsidRPr="00A351AB">
          <w:rPr>
            <w:rStyle w:val="Hipervnculo"/>
            <w:rFonts w:ascii="Arial" w:hAnsi="Arial" w:cs="Arial"/>
            <w:b/>
            <w:bCs/>
            <w:i/>
            <w:iCs/>
            <w:lang w:val="en-GB"/>
          </w:rPr>
          <w:t xml:space="preserve">Krolik &amp; </w:t>
        </w:r>
        <w:proofErr w:type="spellStart"/>
        <w:r w:rsidR="00624CAA" w:rsidRPr="00A351AB">
          <w:rPr>
            <w:rStyle w:val="Hipervnculo"/>
            <w:rFonts w:ascii="Arial" w:hAnsi="Arial" w:cs="Arial"/>
            <w:b/>
            <w:bCs/>
            <w:i/>
            <w:iCs/>
            <w:lang w:val="en-GB"/>
          </w:rPr>
          <w:t>Ors</w:t>
        </w:r>
        <w:proofErr w:type="spellEnd"/>
        <w:r w:rsidR="00624CAA" w:rsidRPr="00A351AB">
          <w:rPr>
            <w:rStyle w:val="Hipervnculo"/>
            <w:rFonts w:ascii="Arial" w:hAnsi="Arial" w:cs="Arial"/>
            <w:b/>
            <w:bCs/>
            <w:i/>
            <w:iCs/>
            <w:lang w:val="en-GB"/>
          </w:rPr>
          <w:t xml:space="preserve"> v Several Polish Judicial Authorities </w:t>
        </w:r>
        <w:r w:rsidR="00624CAA" w:rsidRPr="00A351AB">
          <w:rPr>
            <w:rStyle w:val="Hipervnculo"/>
            <w:rFonts w:ascii="Arial" w:hAnsi="Arial" w:cs="Arial"/>
            <w:lang w:val="en-GB"/>
          </w:rPr>
          <w:t>[2012] EWHC 2357 (Admin); [2013] 1 WLR 490</w:t>
        </w:r>
      </w:hyperlink>
      <w:r w:rsidR="00624CAA" w:rsidRPr="00A351AB">
        <w:rPr>
          <w:rFonts w:ascii="Arial" w:hAnsi="Arial" w:cs="Arial"/>
          <w:color w:val="000000"/>
          <w:lang w:val="en-GB"/>
        </w:rPr>
        <w:t xml:space="preserve"> (§§4-6) exemplify the </w:t>
      </w:r>
      <w:r w:rsidR="009B016B">
        <w:rPr>
          <w:rFonts w:ascii="Arial" w:hAnsi="Arial" w:cs="Arial"/>
          <w:color w:val="000000"/>
          <w:lang w:val="en-GB"/>
        </w:rPr>
        <w:t xml:space="preserve">UK’s </w:t>
      </w:r>
      <w:r w:rsidR="00624CAA" w:rsidRPr="00A351AB">
        <w:rPr>
          <w:rFonts w:ascii="Arial" w:hAnsi="Arial" w:cs="Arial"/>
          <w:color w:val="000000"/>
          <w:lang w:val="en-GB"/>
        </w:rPr>
        <w:t xml:space="preserve">approach. </w:t>
      </w:r>
      <w:r w:rsidR="009B016B">
        <w:rPr>
          <w:rFonts w:ascii="Arial" w:hAnsi="Arial" w:cs="Arial"/>
          <w:color w:val="000000"/>
          <w:lang w:val="en-GB"/>
        </w:rPr>
        <w:t>As a matter of fact</w:t>
      </w:r>
      <w:r w:rsidR="00624CAA" w:rsidRPr="00A351AB">
        <w:rPr>
          <w:rFonts w:ascii="Arial" w:hAnsi="Arial" w:cs="Arial"/>
          <w:color w:val="000000"/>
          <w:lang w:val="en-GB"/>
        </w:rPr>
        <w:t xml:space="preserve">, </w:t>
      </w:r>
      <w:r w:rsidR="009B016B" w:rsidRPr="009B016B">
        <w:rPr>
          <w:rFonts w:ascii="Arial" w:hAnsi="Arial" w:cs="Arial"/>
          <w:b/>
          <w:bCs/>
          <w:i/>
          <w:iCs/>
          <w:color w:val="000000"/>
          <w:lang w:val="en-GB"/>
        </w:rPr>
        <w:t>Krolik</w:t>
      </w:r>
      <w:r w:rsidR="00624CAA" w:rsidRPr="00A351AB">
        <w:rPr>
          <w:rFonts w:ascii="Arial" w:hAnsi="Arial" w:cs="Arial"/>
          <w:color w:val="000000"/>
          <w:lang w:val="en-GB"/>
        </w:rPr>
        <w:t xml:space="preserve"> is based on an earlier CJEU authority anchored in the same principle (</w:t>
      </w:r>
      <w:hyperlink r:id="rId30" w:history="1">
        <w:r w:rsidR="00624CAA" w:rsidRPr="00A351AB">
          <w:rPr>
            <w:rStyle w:val="Hipervnculo"/>
            <w:rFonts w:ascii="Arial" w:hAnsi="Arial" w:cs="Arial"/>
            <w:b/>
            <w:bCs/>
            <w:i/>
            <w:iCs/>
            <w:lang w:val="en-GB"/>
          </w:rPr>
          <w:t xml:space="preserve">N.S. v Secretary of State for the Home Department </w:t>
        </w:r>
        <w:r w:rsidR="00624CAA" w:rsidRPr="00A351AB">
          <w:rPr>
            <w:rStyle w:val="Hipervnculo"/>
            <w:rFonts w:ascii="Arial" w:hAnsi="Arial" w:cs="Arial"/>
            <w:lang w:val="en-GB"/>
          </w:rPr>
          <w:t xml:space="preserve">(C-411/10) </w:t>
        </w:r>
        <w:r w:rsidR="00624CAA" w:rsidRPr="00A351AB">
          <w:rPr>
            <w:rStyle w:val="Hipervnculo"/>
            <w:rFonts w:ascii="Arial" w:hAnsi="Arial" w:cs="Arial"/>
            <w:b/>
            <w:bCs/>
            <w:i/>
            <w:iCs/>
            <w:lang w:val="en-GB"/>
          </w:rPr>
          <w:t xml:space="preserve">&amp; M.E. v Refugee Applications Commissioner </w:t>
        </w:r>
        <w:r w:rsidR="00624CAA" w:rsidRPr="00A351AB">
          <w:rPr>
            <w:rStyle w:val="Hipervnculo"/>
            <w:rFonts w:ascii="Arial" w:hAnsi="Arial" w:cs="Arial"/>
            <w:lang w:val="en-GB"/>
          </w:rPr>
          <w:t xml:space="preserve">(C-493/10) </w:t>
        </w:r>
        <w:r w:rsidR="00624CAA" w:rsidRPr="00A351AB">
          <w:rPr>
            <w:rStyle w:val="Hipervnculo"/>
            <w:rFonts w:ascii="Arial" w:hAnsi="Arial" w:cs="Arial"/>
            <w:shd w:val="clear" w:color="auto" w:fill="FFFFFF"/>
            <w:lang w:val="en-GB"/>
          </w:rPr>
          <w:t>ECLI:EU:C:2011:865</w:t>
        </w:r>
      </w:hyperlink>
      <w:r w:rsidR="00624CAA" w:rsidRPr="00A351AB">
        <w:rPr>
          <w:rFonts w:ascii="Arial" w:hAnsi="Arial" w:cs="Arial"/>
          <w:color w:val="333333"/>
          <w:shd w:val="clear" w:color="auto" w:fill="FFFFFF"/>
          <w:lang w:val="en-GB"/>
        </w:rPr>
        <w:t xml:space="preserve">). Therefore, </w:t>
      </w:r>
      <w:r w:rsidR="009B016B">
        <w:rPr>
          <w:rFonts w:ascii="Arial" w:hAnsi="Arial" w:cs="Arial"/>
          <w:color w:val="333333"/>
          <w:shd w:val="clear" w:color="auto" w:fill="FFFFFF"/>
          <w:lang w:val="en-GB"/>
        </w:rPr>
        <w:t>should</w:t>
      </w:r>
      <w:r w:rsidR="00624CAA" w:rsidRPr="00A351AB">
        <w:rPr>
          <w:rFonts w:ascii="Arial" w:hAnsi="Arial" w:cs="Arial"/>
          <w:color w:val="333333"/>
          <w:shd w:val="clear" w:color="auto" w:fill="FFFFFF"/>
          <w:lang w:val="en-GB"/>
        </w:rPr>
        <w:t xml:space="preserve"> UK executing judicial authorities trust EU issuing judicial authorities more than </w:t>
      </w:r>
      <w:r w:rsidR="009B016B">
        <w:rPr>
          <w:rFonts w:ascii="Arial" w:hAnsi="Arial" w:cs="Arial"/>
          <w:color w:val="333333"/>
          <w:shd w:val="clear" w:color="auto" w:fill="FFFFFF"/>
          <w:lang w:val="en-GB"/>
        </w:rPr>
        <w:t>the latter trust them</w:t>
      </w:r>
      <w:r w:rsidR="00624CAA" w:rsidRPr="00A351AB">
        <w:rPr>
          <w:rFonts w:ascii="Arial" w:hAnsi="Arial" w:cs="Arial"/>
          <w:color w:val="333333"/>
          <w:shd w:val="clear" w:color="auto" w:fill="FFFFFF"/>
          <w:lang w:val="en-GB"/>
        </w:rPr>
        <w:t xml:space="preserve">? </w:t>
      </w:r>
      <w:r w:rsidR="005A1ED4">
        <w:rPr>
          <w:rFonts w:ascii="Arial" w:hAnsi="Arial" w:cs="Arial"/>
          <w:color w:val="333333"/>
          <w:shd w:val="clear" w:color="auto" w:fill="FFFFFF"/>
          <w:lang w:val="en-GB"/>
        </w:rPr>
        <w:t xml:space="preserve">Should they still apply </w:t>
      </w:r>
      <w:proofErr w:type="spellStart"/>
      <w:r w:rsidR="005A1ED4">
        <w:rPr>
          <w:rFonts w:ascii="Arial" w:hAnsi="Arial" w:cs="Arial"/>
          <w:b/>
          <w:bCs/>
          <w:i/>
          <w:iCs/>
          <w:color w:val="333333"/>
          <w:shd w:val="clear" w:color="auto" w:fill="FFFFFF"/>
          <w:lang w:val="en-GB"/>
        </w:rPr>
        <w:t>Aranyosi</w:t>
      </w:r>
      <w:proofErr w:type="spellEnd"/>
      <w:r w:rsidR="005A1ED4">
        <w:rPr>
          <w:rFonts w:ascii="Arial" w:hAnsi="Arial" w:cs="Arial"/>
          <w:b/>
          <w:bCs/>
          <w:i/>
          <w:iCs/>
          <w:color w:val="333333"/>
          <w:shd w:val="clear" w:color="auto" w:fill="FFFFFF"/>
          <w:lang w:val="en-GB"/>
        </w:rPr>
        <w:t xml:space="preserve"> </w:t>
      </w:r>
      <w:r w:rsidR="005A1ED4">
        <w:rPr>
          <w:rFonts w:ascii="Arial" w:hAnsi="Arial" w:cs="Arial"/>
          <w:color w:val="333333"/>
          <w:shd w:val="clear" w:color="auto" w:fill="FFFFFF"/>
          <w:lang w:val="en-GB"/>
        </w:rPr>
        <w:t xml:space="preserve">when it does not apply to the UK? </w:t>
      </w:r>
      <w:r w:rsidR="00624CAA" w:rsidRPr="00A351AB">
        <w:rPr>
          <w:rFonts w:ascii="Arial" w:hAnsi="Arial" w:cs="Arial"/>
          <w:color w:val="333333"/>
          <w:shd w:val="clear" w:color="auto" w:fill="FFFFFF"/>
          <w:lang w:val="en-GB"/>
        </w:rPr>
        <w:t xml:space="preserve">Alternatively, how can UK courts follow a </w:t>
      </w:r>
      <w:r w:rsidR="009B016B">
        <w:rPr>
          <w:rFonts w:ascii="Arial" w:hAnsi="Arial" w:cs="Arial"/>
          <w:color w:val="333333"/>
          <w:shd w:val="clear" w:color="auto" w:fill="FFFFFF"/>
          <w:lang w:val="en-GB"/>
        </w:rPr>
        <w:t>CJEU</w:t>
      </w:r>
      <w:r w:rsidR="00624CAA" w:rsidRPr="00A351AB">
        <w:rPr>
          <w:rFonts w:ascii="Arial" w:hAnsi="Arial" w:cs="Arial"/>
          <w:color w:val="333333"/>
          <w:shd w:val="clear" w:color="auto" w:fill="FFFFFF"/>
          <w:lang w:val="en-GB"/>
        </w:rPr>
        <w:t xml:space="preserve"> </w:t>
      </w:r>
      <w:r w:rsidR="009B016B">
        <w:rPr>
          <w:rFonts w:ascii="Arial" w:hAnsi="Arial" w:cs="Arial"/>
          <w:color w:val="333333"/>
          <w:shd w:val="clear" w:color="auto" w:fill="FFFFFF"/>
          <w:lang w:val="en-GB"/>
        </w:rPr>
        <w:t>judgment</w:t>
      </w:r>
      <w:r w:rsidR="00624CAA" w:rsidRPr="00A351AB">
        <w:rPr>
          <w:rFonts w:ascii="Arial" w:hAnsi="Arial" w:cs="Arial"/>
          <w:color w:val="333333"/>
          <w:shd w:val="clear" w:color="auto" w:fill="FFFFFF"/>
          <w:lang w:val="en-GB"/>
        </w:rPr>
        <w:t xml:space="preserve"> </w:t>
      </w:r>
      <w:r w:rsidR="009B016B">
        <w:rPr>
          <w:rFonts w:ascii="Arial" w:hAnsi="Arial" w:cs="Arial"/>
          <w:color w:val="333333"/>
          <w:shd w:val="clear" w:color="auto" w:fill="FFFFFF"/>
          <w:lang w:val="en-GB"/>
        </w:rPr>
        <w:t>rooted in</w:t>
      </w:r>
      <w:r w:rsidR="00624CAA" w:rsidRPr="00A351AB">
        <w:rPr>
          <w:rFonts w:ascii="Arial" w:hAnsi="Arial" w:cs="Arial"/>
          <w:color w:val="333333"/>
          <w:shd w:val="clear" w:color="auto" w:fill="FFFFFF"/>
          <w:lang w:val="en-GB"/>
        </w:rPr>
        <w:t xml:space="preserve"> post-Brexit </w:t>
      </w:r>
      <w:r w:rsidR="009B016B">
        <w:rPr>
          <w:rFonts w:ascii="Arial" w:hAnsi="Arial" w:cs="Arial"/>
          <w:color w:val="333333"/>
          <w:shd w:val="clear" w:color="auto" w:fill="FFFFFF"/>
          <w:lang w:val="en-GB"/>
        </w:rPr>
        <w:t>“</w:t>
      </w:r>
      <w:r w:rsidR="00624CAA" w:rsidRPr="00A351AB">
        <w:rPr>
          <w:rFonts w:ascii="Arial" w:hAnsi="Arial" w:cs="Arial"/>
          <w:color w:val="333333"/>
          <w:shd w:val="clear" w:color="auto" w:fill="FFFFFF"/>
          <w:lang w:val="en-GB"/>
        </w:rPr>
        <w:t>system</w:t>
      </w:r>
      <w:r w:rsidR="005A1ED4">
        <w:rPr>
          <w:rFonts w:ascii="Arial" w:hAnsi="Arial" w:cs="Arial"/>
          <w:color w:val="333333"/>
          <w:shd w:val="clear" w:color="auto" w:fill="FFFFFF"/>
          <w:lang w:val="en-GB"/>
        </w:rPr>
        <w:t>ic</w:t>
      </w:r>
      <w:r w:rsidR="00624CAA" w:rsidRPr="00A351AB">
        <w:rPr>
          <w:rFonts w:ascii="Arial" w:hAnsi="Arial" w:cs="Arial"/>
          <w:color w:val="333333"/>
          <w:shd w:val="clear" w:color="auto" w:fill="FFFFFF"/>
          <w:lang w:val="en-GB"/>
        </w:rPr>
        <w:t xml:space="preserve"> justification</w:t>
      </w:r>
      <w:r w:rsidR="005A1ED4">
        <w:rPr>
          <w:rFonts w:ascii="Arial" w:hAnsi="Arial" w:cs="Arial"/>
          <w:color w:val="333333"/>
          <w:shd w:val="clear" w:color="auto" w:fill="FFFFFF"/>
          <w:lang w:val="en-GB"/>
        </w:rPr>
        <w:t>s</w:t>
      </w:r>
      <w:r w:rsidR="009B016B">
        <w:rPr>
          <w:rFonts w:ascii="Arial" w:hAnsi="Arial" w:cs="Arial"/>
          <w:color w:val="333333"/>
          <w:shd w:val="clear" w:color="auto" w:fill="FFFFFF"/>
          <w:lang w:val="en-GB"/>
        </w:rPr>
        <w:t>”</w:t>
      </w:r>
      <w:r w:rsidR="005A1ED4">
        <w:rPr>
          <w:rFonts w:ascii="Arial" w:hAnsi="Arial" w:cs="Arial"/>
          <w:color w:val="333333"/>
          <w:shd w:val="clear" w:color="auto" w:fill="FFFFFF"/>
          <w:lang w:val="en-GB"/>
        </w:rPr>
        <w:t xml:space="preserve"> and not substantive fundamental rights</w:t>
      </w:r>
      <w:r w:rsidR="00624CAA" w:rsidRPr="00A351AB">
        <w:rPr>
          <w:rFonts w:ascii="Arial" w:hAnsi="Arial" w:cs="Arial"/>
          <w:color w:val="333333"/>
          <w:shd w:val="clear" w:color="auto" w:fill="FFFFFF"/>
          <w:lang w:val="en-GB"/>
        </w:rPr>
        <w:t>?</w:t>
      </w:r>
      <w:r w:rsidR="009B016B">
        <w:rPr>
          <w:rFonts w:ascii="Arial" w:hAnsi="Arial" w:cs="Arial"/>
          <w:color w:val="333333"/>
          <w:shd w:val="clear" w:color="auto" w:fill="FFFFFF"/>
          <w:lang w:val="en-GB"/>
        </w:rPr>
        <w:t xml:space="preserve"> Answers on a postcard please.</w:t>
      </w:r>
    </w:p>
    <w:sectPr w:rsidR="00BA525A" w:rsidRPr="00A351AB">
      <w:footerReference w:type="even"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63CAC" w14:textId="77777777" w:rsidR="001943AF" w:rsidRDefault="001943AF" w:rsidP="00BB7542">
      <w:pPr>
        <w:spacing w:after="0" w:line="240" w:lineRule="auto"/>
      </w:pPr>
      <w:r>
        <w:separator/>
      </w:r>
    </w:p>
  </w:endnote>
  <w:endnote w:type="continuationSeparator" w:id="0">
    <w:p w14:paraId="6A3E8A3D" w14:textId="77777777" w:rsidR="001943AF" w:rsidRDefault="001943AF" w:rsidP="00BB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585874280"/>
      <w:docPartObj>
        <w:docPartGallery w:val="Page Numbers (Bottom of Page)"/>
        <w:docPartUnique/>
      </w:docPartObj>
    </w:sdtPr>
    <w:sdtEndPr>
      <w:rPr>
        <w:rStyle w:val="Nmerodepgina"/>
      </w:rPr>
    </w:sdtEndPr>
    <w:sdtContent>
      <w:p w14:paraId="0926F5CA" w14:textId="197B6E4D" w:rsidR="00BB7542" w:rsidRDefault="00BB7542" w:rsidP="001626F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64ED3FA" w14:textId="77777777" w:rsidR="00BB7542" w:rsidRDefault="00BB7542" w:rsidP="00BB7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41931460"/>
      <w:docPartObj>
        <w:docPartGallery w:val="Page Numbers (Bottom of Page)"/>
        <w:docPartUnique/>
      </w:docPartObj>
    </w:sdtPr>
    <w:sdtEndPr>
      <w:rPr>
        <w:rStyle w:val="Nmerodepgina"/>
      </w:rPr>
    </w:sdtEndPr>
    <w:sdtContent>
      <w:p w14:paraId="3187C231" w14:textId="50DA376E" w:rsidR="00BB7542" w:rsidRDefault="00BB7542" w:rsidP="001626F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BA0C3E4" w14:textId="77777777" w:rsidR="00BB7542" w:rsidRDefault="00BB7542" w:rsidP="00BB754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469DA" w14:textId="77777777" w:rsidR="001943AF" w:rsidRDefault="001943AF" w:rsidP="00BB7542">
      <w:pPr>
        <w:spacing w:after="0" w:line="240" w:lineRule="auto"/>
      </w:pPr>
      <w:r>
        <w:separator/>
      </w:r>
    </w:p>
  </w:footnote>
  <w:footnote w:type="continuationSeparator" w:id="0">
    <w:p w14:paraId="0192A88C" w14:textId="77777777" w:rsidR="001943AF" w:rsidRDefault="001943AF" w:rsidP="00BB7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2D"/>
    <w:rsid w:val="0013007F"/>
    <w:rsid w:val="001943AF"/>
    <w:rsid w:val="001978AF"/>
    <w:rsid w:val="002A2656"/>
    <w:rsid w:val="00314742"/>
    <w:rsid w:val="003227AC"/>
    <w:rsid w:val="0036552D"/>
    <w:rsid w:val="003901F9"/>
    <w:rsid w:val="00447A42"/>
    <w:rsid w:val="00546BA1"/>
    <w:rsid w:val="005A1ED4"/>
    <w:rsid w:val="005B42B4"/>
    <w:rsid w:val="005E1438"/>
    <w:rsid w:val="00624CAA"/>
    <w:rsid w:val="007300F0"/>
    <w:rsid w:val="0077085D"/>
    <w:rsid w:val="007D26DF"/>
    <w:rsid w:val="0085105D"/>
    <w:rsid w:val="00920D3C"/>
    <w:rsid w:val="009B016B"/>
    <w:rsid w:val="009D24C3"/>
    <w:rsid w:val="00A351AB"/>
    <w:rsid w:val="00AB28B5"/>
    <w:rsid w:val="00AB4B25"/>
    <w:rsid w:val="00B03876"/>
    <w:rsid w:val="00B30F88"/>
    <w:rsid w:val="00BA525A"/>
    <w:rsid w:val="00BB7542"/>
    <w:rsid w:val="00C26CCA"/>
    <w:rsid w:val="00C457A9"/>
    <w:rsid w:val="00C955DA"/>
    <w:rsid w:val="00D16E7A"/>
    <w:rsid w:val="00DB3006"/>
    <w:rsid w:val="00EB084C"/>
  </w:rsids>
  <m:mathPr>
    <m:mathFont m:val="Cambria Math"/>
    <m:brkBin m:val="before"/>
    <m:brkBinSub m:val="--"/>
    <m:smallFrac m:val="0"/>
    <m:dispDef/>
    <m:lMargin m:val="0"/>
    <m:rMargin m:val="0"/>
    <m:defJc m:val="centerGroup"/>
    <m:wrapIndent m:val="1440"/>
    <m:intLim m:val="subSup"/>
    <m:naryLim m:val="undOvr"/>
  </m:mathPr>
  <w:themeFontLang w:val="es-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E65D"/>
  <w15:chartTrackingRefBased/>
  <w15:docId w15:val="{28A09B74-D217-7848-9255-5E577719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5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5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55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55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55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55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55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55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55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55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55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55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55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55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55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55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55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552D"/>
    <w:rPr>
      <w:rFonts w:eastAsiaTheme="majorEastAsia" w:cstheme="majorBidi"/>
      <w:color w:val="272727" w:themeColor="text1" w:themeTint="D8"/>
    </w:rPr>
  </w:style>
  <w:style w:type="paragraph" w:styleId="Ttulo">
    <w:name w:val="Title"/>
    <w:basedOn w:val="Normal"/>
    <w:next w:val="Normal"/>
    <w:link w:val="TtuloCar"/>
    <w:uiPriority w:val="10"/>
    <w:qFormat/>
    <w:rsid w:val="00365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55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55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55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552D"/>
    <w:pPr>
      <w:spacing w:before="160"/>
      <w:jc w:val="center"/>
    </w:pPr>
    <w:rPr>
      <w:i/>
      <w:iCs/>
      <w:color w:val="404040" w:themeColor="text1" w:themeTint="BF"/>
    </w:rPr>
  </w:style>
  <w:style w:type="character" w:customStyle="1" w:styleId="CitaCar">
    <w:name w:val="Cita Car"/>
    <w:basedOn w:val="Fuentedeprrafopredeter"/>
    <w:link w:val="Cita"/>
    <w:uiPriority w:val="29"/>
    <w:rsid w:val="0036552D"/>
    <w:rPr>
      <w:i/>
      <w:iCs/>
      <w:color w:val="404040" w:themeColor="text1" w:themeTint="BF"/>
    </w:rPr>
  </w:style>
  <w:style w:type="paragraph" w:styleId="Prrafodelista">
    <w:name w:val="List Paragraph"/>
    <w:basedOn w:val="Normal"/>
    <w:uiPriority w:val="34"/>
    <w:qFormat/>
    <w:rsid w:val="0036552D"/>
    <w:pPr>
      <w:ind w:left="720"/>
      <w:contextualSpacing/>
    </w:pPr>
  </w:style>
  <w:style w:type="character" w:styleId="nfasisintenso">
    <w:name w:val="Intense Emphasis"/>
    <w:basedOn w:val="Fuentedeprrafopredeter"/>
    <w:uiPriority w:val="21"/>
    <w:qFormat/>
    <w:rsid w:val="0036552D"/>
    <w:rPr>
      <w:i/>
      <w:iCs/>
      <w:color w:val="0F4761" w:themeColor="accent1" w:themeShade="BF"/>
    </w:rPr>
  </w:style>
  <w:style w:type="paragraph" w:styleId="Citadestacada">
    <w:name w:val="Intense Quote"/>
    <w:basedOn w:val="Normal"/>
    <w:next w:val="Normal"/>
    <w:link w:val="CitadestacadaCar"/>
    <w:uiPriority w:val="30"/>
    <w:qFormat/>
    <w:rsid w:val="00365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552D"/>
    <w:rPr>
      <w:i/>
      <w:iCs/>
      <w:color w:val="0F4761" w:themeColor="accent1" w:themeShade="BF"/>
    </w:rPr>
  </w:style>
  <w:style w:type="character" w:styleId="Referenciaintensa">
    <w:name w:val="Intense Reference"/>
    <w:basedOn w:val="Fuentedeprrafopredeter"/>
    <w:uiPriority w:val="32"/>
    <w:qFormat/>
    <w:rsid w:val="0036552D"/>
    <w:rPr>
      <w:b/>
      <w:bCs/>
      <w:smallCaps/>
      <w:color w:val="0F4761" w:themeColor="accent1" w:themeShade="BF"/>
      <w:spacing w:val="5"/>
    </w:rPr>
  </w:style>
  <w:style w:type="character" w:styleId="Hipervnculo">
    <w:name w:val="Hyperlink"/>
    <w:basedOn w:val="Fuentedeprrafopredeter"/>
    <w:uiPriority w:val="99"/>
    <w:unhideWhenUsed/>
    <w:rsid w:val="00D16E7A"/>
    <w:rPr>
      <w:color w:val="467886" w:themeColor="hyperlink"/>
      <w:u w:val="single"/>
    </w:rPr>
  </w:style>
  <w:style w:type="character" w:styleId="Mencinsinresolver">
    <w:name w:val="Unresolved Mention"/>
    <w:basedOn w:val="Fuentedeprrafopredeter"/>
    <w:uiPriority w:val="99"/>
    <w:semiHidden/>
    <w:unhideWhenUsed/>
    <w:rsid w:val="00D16E7A"/>
    <w:rPr>
      <w:color w:val="605E5C"/>
      <w:shd w:val="clear" w:color="auto" w:fill="E1DFDD"/>
    </w:rPr>
  </w:style>
  <w:style w:type="character" w:customStyle="1" w:styleId="bold">
    <w:name w:val="bold"/>
    <w:basedOn w:val="Fuentedeprrafopredeter"/>
    <w:rsid w:val="00B30F88"/>
  </w:style>
  <w:style w:type="character" w:customStyle="1" w:styleId="apple-converted-space">
    <w:name w:val="apple-converted-space"/>
    <w:basedOn w:val="Fuentedeprrafopredeter"/>
    <w:rsid w:val="00B30F88"/>
  </w:style>
  <w:style w:type="character" w:styleId="Hipervnculovisitado">
    <w:name w:val="FollowedHyperlink"/>
    <w:basedOn w:val="Fuentedeprrafopredeter"/>
    <w:uiPriority w:val="99"/>
    <w:semiHidden/>
    <w:unhideWhenUsed/>
    <w:rsid w:val="007300F0"/>
    <w:rPr>
      <w:color w:val="96607D" w:themeColor="followedHyperlink"/>
      <w:u w:val="single"/>
    </w:rPr>
  </w:style>
  <w:style w:type="paragraph" w:styleId="Piedepgina">
    <w:name w:val="footer"/>
    <w:basedOn w:val="Normal"/>
    <w:link w:val="PiedepginaCar"/>
    <w:uiPriority w:val="99"/>
    <w:unhideWhenUsed/>
    <w:rsid w:val="00BB754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B7542"/>
  </w:style>
  <w:style w:type="character" w:styleId="Nmerodepgina">
    <w:name w:val="page number"/>
    <w:basedOn w:val="Fuentedeprrafopredeter"/>
    <w:uiPriority w:val="99"/>
    <w:semiHidden/>
    <w:unhideWhenUsed/>
    <w:rsid w:val="00BB7542"/>
  </w:style>
  <w:style w:type="paragraph" w:styleId="Revisin">
    <w:name w:val="Revision"/>
    <w:hidden/>
    <w:uiPriority w:val="99"/>
    <w:semiHidden/>
    <w:rsid w:val="00DB3006"/>
    <w:pPr>
      <w:spacing w:after="0" w:line="240" w:lineRule="auto"/>
    </w:pPr>
  </w:style>
  <w:style w:type="character" w:styleId="Refdecomentario">
    <w:name w:val="annotation reference"/>
    <w:basedOn w:val="Fuentedeprrafopredeter"/>
    <w:uiPriority w:val="99"/>
    <w:semiHidden/>
    <w:unhideWhenUsed/>
    <w:rsid w:val="00DB3006"/>
    <w:rPr>
      <w:sz w:val="16"/>
      <w:szCs w:val="16"/>
    </w:rPr>
  </w:style>
  <w:style w:type="paragraph" w:styleId="Textocomentario">
    <w:name w:val="annotation text"/>
    <w:basedOn w:val="Normal"/>
    <w:link w:val="TextocomentarioCar"/>
    <w:uiPriority w:val="99"/>
    <w:unhideWhenUsed/>
    <w:rsid w:val="00DB3006"/>
    <w:pPr>
      <w:spacing w:line="240" w:lineRule="auto"/>
    </w:pPr>
    <w:rPr>
      <w:sz w:val="20"/>
      <w:szCs w:val="20"/>
    </w:rPr>
  </w:style>
  <w:style w:type="character" w:customStyle="1" w:styleId="TextocomentarioCar">
    <w:name w:val="Texto comentario Car"/>
    <w:basedOn w:val="Fuentedeprrafopredeter"/>
    <w:link w:val="Textocomentario"/>
    <w:uiPriority w:val="99"/>
    <w:rsid w:val="00DB3006"/>
    <w:rPr>
      <w:sz w:val="20"/>
      <w:szCs w:val="20"/>
    </w:rPr>
  </w:style>
  <w:style w:type="paragraph" w:styleId="Asuntodelcomentario">
    <w:name w:val="annotation subject"/>
    <w:basedOn w:val="Textocomentario"/>
    <w:next w:val="Textocomentario"/>
    <w:link w:val="AsuntodelcomentarioCar"/>
    <w:uiPriority w:val="99"/>
    <w:semiHidden/>
    <w:unhideWhenUsed/>
    <w:rsid w:val="00DB3006"/>
    <w:rPr>
      <w:b/>
      <w:bCs/>
    </w:rPr>
  </w:style>
  <w:style w:type="character" w:customStyle="1" w:styleId="AsuntodelcomentarioCar">
    <w:name w:val="Asunto del comentario Car"/>
    <w:basedOn w:val="TextocomentarioCar"/>
    <w:link w:val="Asuntodelcomentario"/>
    <w:uiPriority w:val="99"/>
    <w:semiHidden/>
    <w:rsid w:val="00DB30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nisi/2008/1216/article/20A" TargetMode="External"/><Relationship Id="rId18" Type="http://schemas.openxmlformats.org/officeDocument/2006/relationships/hyperlink" Target="https://eur-lex.europa.eu/legal-content/EN/TXT/?uri=CELEX%3A02002F0584-20090328" TargetMode="External"/><Relationship Id="rId26" Type="http://schemas.openxmlformats.org/officeDocument/2006/relationships/hyperlink" Target="https://www.legislation.gov.uk/eut/withdrawal-agreement/article/90" TargetMode="External"/><Relationship Id="rId3" Type="http://schemas.openxmlformats.org/officeDocument/2006/relationships/settings" Target="settings.xml"/><Relationship Id="rId21" Type="http://schemas.openxmlformats.org/officeDocument/2006/relationships/hyperlink" Target="https://eur-lex.europa.eu/legal-content/EN/TXT/?uri=CELEX%3A62015CJ0404" TargetMode="External"/><Relationship Id="rId34" Type="http://schemas.openxmlformats.org/officeDocument/2006/relationships/theme" Target="theme/theme1.xml"/><Relationship Id="rId7" Type="http://schemas.openxmlformats.org/officeDocument/2006/relationships/hyperlink" Target="https://curia.europa.eu/juris/document/document.jsf?text=&amp;docid=288848&amp;pageIndex=0&amp;doclang=EN&amp;mode=req&amp;dir=&amp;occ=first&amp;part=1&amp;cid=12067690" TargetMode="External"/><Relationship Id="rId12" Type="http://schemas.openxmlformats.org/officeDocument/2006/relationships/hyperlink" Target="https://www.legislation.gov.uk/ukpga/2021/11/section/30" TargetMode="External"/><Relationship Id="rId17" Type="http://schemas.openxmlformats.org/officeDocument/2006/relationships/hyperlink" Target="https://revisedacts.lawreform.ie/eli/2003/act/45/revised/en/html" TargetMode="External"/><Relationship Id="rId25" Type="http://schemas.openxmlformats.org/officeDocument/2006/relationships/hyperlink" Target="https://eur-lex.europa.eu/eli/treaty/teu_2012/art_2/o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ailii.org/eu/cases/ECHR/2013/1004.html" TargetMode="External"/><Relationship Id="rId20" Type="http://schemas.openxmlformats.org/officeDocument/2006/relationships/hyperlink" Target="https://www.legislation.gov.uk/ukpga/2018/16/section/5" TargetMode="External"/><Relationship Id="rId29" Type="http://schemas.openxmlformats.org/officeDocument/2006/relationships/hyperlink" Target="https://knyvet.bailii.org/ew/cases/EWHC/Admin/2012/2357.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uroparl.europa.eu/charter/pdf/text_en.pdf" TargetMode="External"/><Relationship Id="rId24" Type="http://schemas.openxmlformats.org/officeDocument/2006/relationships/hyperlink" Target="https://eur-lex.europa.eu/legal-content/EN/TXT/PDF/?uri=CELEX:62021CJ0699"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ailii.org/uk/cases/UKSC/2023/14.html" TargetMode="External"/><Relationship Id="rId23" Type="http://schemas.openxmlformats.org/officeDocument/2006/relationships/hyperlink" Target="https://eur-lex.europa.eu/legal-content/en/TXT/?uri=CELEX:62018CJ0216" TargetMode="External"/><Relationship Id="rId28" Type="http://schemas.openxmlformats.org/officeDocument/2006/relationships/hyperlink" Target="https://curia.europa.eu/juris/document/document.jsf?docid=287632&amp;mode=req&amp;pageIndex=1&amp;dir=&amp;occ=first&amp;part=1&amp;text=&amp;doclang=EN&amp;cid=12159518" TargetMode="External"/><Relationship Id="rId10" Type="http://schemas.openxmlformats.org/officeDocument/2006/relationships/hyperlink" Target="https://www.echr.coe.int/documents/d/echr/Archives_1950_Convention_ENG" TargetMode="External"/><Relationship Id="rId19" Type="http://schemas.openxmlformats.org/officeDocument/2006/relationships/hyperlink" Target="https://www.un.org/en/about-us/universal-declaration-of-human-righ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ailii.org/ie/cases/IESC/2024/2024IESC9.html" TargetMode="External"/><Relationship Id="rId14" Type="http://schemas.openxmlformats.org/officeDocument/2006/relationships/hyperlink" Target="https://www.legislation.gov.uk/ukpga/2003/44/section/247A" TargetMode="External"/><Relationship Id="rId22" Type="http://schemas.openxmlformats.org/officeDocument/2006/relationships/hyperlink" Target="https://eur-lex.europa.eu/legal-content/EN/TXT/?uri=CELEX%3A62015CJ0404" TargetMode="External"/><Relationship Id="rId27" Type="http://schemas.openxmlformats.org/officeDocument/2006/relationships/hyperlink" Target="https://eur-lex.europa.eu/eli/agree_internation/2006/716(1)/oj" TargetMode="External"/><Relationship Id="rId30" Type="http://schemas.openxmlformats.org/officeDocument/2006/relationships/hyperlink" Target="https://eur-lex.europa.eu/legal-content/EN/TXT/?uri=CELEX%3A62010CJ0411" TargetMode="External"/><Relationship Id="rId8" Type="http://schemas.openxmlformats.org/officeDocument/2006/relationships/hyperlink" Target="https://eur-lex.europa.eu/legal-content/EN/TXT/?uri=uriserv%3AOJ.L_.2021.149.01.0010.01.ENG&amp;toc=OJ%3AL%3A2021%3A149%3AT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AA16-F613-4E60-B8BE-B2F17013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2403</Words>
  <Characters>13219</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Hyman</dc:creator>
  <cp:keywords/>
  <dc:description/>
  <cp:lastModifiedBy>Stefan Hyman</cp:lastModifiedBy>
  <cp:revision>3</cp:revision>
  <dcterms:created xsi:type="dcterms:W3CDTF">2024-07-30T10:41:00Z</dcterms:created>
  <dcterms:modified xsi:type="dcterms:W3CDTF">2024-07-30T11:31:00Z</dcterms:modified>
</cp:coreProperties>
</file>